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18" w:rsidRPr="00474018" w:rsidRDefault="00474018" w:rsidP="00664C7B">
      <w:pPr>
        <w:spacing w:after="0" w:line="240" w:lineRule="auto"/>
        <w:rPr>
          <w:rFonts w:ascii="Times New Roman" w:eastAsia="Times New Roman" w:hAnsi="Times New Roman"/>
          <w:b/>
          <w:bCs/>
          <w:sz w:val="20"/>
          <w:szCs w:val="20"/>
          <w:lang w:val="lt-LT" w:eastAsia="lt-LT"/>
        </w:rPr>
      </w:pPr>
    </w:p>
    <w:tbl>
      <w:tblPr>
        <w:tblW w:w="10763"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tblPr>
      <w:tblGrid>
        <w:gridCol w:w="10763"/>
      </w:tblGrid>
      <w:tr w:rsidR="00474018" w:rsidRPr="00474018" w:rsidTr="00231802">
        <w:trPr>
          <w:tblCellSpacing w:w="0" w:type="dxa"/>
        </w:trPr>
        <w:tc>
          <w:tcPr>
            <w:tcW w:w="10763" w:type="dxa"/>
            <w:tcBorders>
              <w:top w:val="single" w:sz="8" w:space="0" w:color="auto"/>
              <w:left w:val="single" w:sz="8" w:space="0" w:color="auto"/>
              <w:bottom w:val="single" w:sz="8" w:space="0" w:color="auto"/>
              <w:right w:val="single" w:sz="8" w:space="0" w:color="auto"/>
            </w:tcBorders>
            <w:vAlign w:val="center"/>
            <w:hideMark/>
          </w:tcPr>
          <w:p w:rsidR="00474018" w:rsidRPr="00474018" w:rsidRDefault="00474018" w:rsidP="00474018">
            <w:pPr>
              <w:spacing w:after="0" w:line="240" w:lineRule="auto"/>
              <w:ind w:right="193"/>
              <w:jc w:val="center"/>
              <w:rPr>
                <w:rFonts w:ascii="Times New Roman" w:eastAsia="Times New Roman" w:hAnsi="Times New Roman"/>
                <w:b/>
                <w:bCs/>
                <w:sz w:val="20"/>
                <w:szCs w:val="20"/>
                <w:lang w:val="lt-LT" w:eastAsia="lt-LT"/>
              </w:rPr>
            </w:pPr>
            <w:r w:rsidRPr="00474018">
              <w:rPr>
                <w:rFonts w:ascii="Times New Roman" w:eastAsia="Times New Roman" w:hAnsi="Times New Roman"/>
                <w:b/>
                <w:bCs/>
                <w:sz w:val="20"/>
                <w:szCs w:val="20"/>
                <w:lang w:val="lt-LT" w:eastAsia="lt-LT"/>
              </w:rPr>
              <w:t xml:space="preserve">Pagrindinė informacija apie indėlio apsaugą </w:t>
            </w:r>
          </w:p>
        </w:tc>
      </w:tr>
      <w:tr w:rsidR="00664C7B" w:rsidRPr="00474018" w:rsidTr="00555B94">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664C7B" w:rsidRDefault="00664C7B" w:rsidP="00730BA0">
            <w:pPr>
              <w:tabs>
                <w:tab w:val="left" w:pos="993"/>
              </w:tabs>
              <w:spacing w:after="0" w:line="240" w:lineRule="auto"/>
              <w:ind w:firstLine="289"/>
              <w:jc w:val="center"/>
              <w:rPr>
                <w:rFonts w:ascii="Times New Roman" w:eastAsia="BatangChe" w:hAnsi="Times New Roman"/>
                <w:b/>
                <w:sz w:val="20"/>
                <w:szCs w:val="20"/>
                <w:lang w:val="lt-LT" w:eastAsia="lt-LT"/>
              </w:rPr>
            </w:pPr>
            <w:r>
              <w:rPr>
                <w:rFonts w:ascii="Times New Roman" w:eastAsia="BatangChe" w:hAnsi="Times New Roman"/>
                <w:b/>
                <w:sz w:val="20"/>
                <w:szCs w:val="20"/>
                <w:lang w:val="lt-LT" w:eastAsia="lt-LT"/>
              </w:rPr>
              <w:t>KAUNO KREDITO UNIJO</w:t>
            </w:r>
            <w:r w:rsidR="00730BA0">
              <w:rPr>
                <w:rFonts w:ascii="Times New Roman" w:eastAsia="BatangChe" w:hAnsi="Times New Roman"/>
                <w:b/>
                <w:sz w:val="20"/>
                <w:szCs w:val="20"/>
                <w:lang w:val="lt-LT" w:eastAsia="lt-LT"/>
              </w:rPr>
              <w:t>JE JŪSŲ</w:t>
            </w:r>
            <w:r>
              <w:rPr>
                <w:rFonts w:ascii="Times New Roman" w:eastAsia="BatangChe" w:hAnsi="Times New Roman"/>
                <w:b/>
                <w:sz w:val="20"/>
                <w:szCs w:val="20"/>
                <w:lang w:val="lt-LT" w:eastAsia="lt-LT"/>
              </w:rPr>
              <w:t xml:space="preserve"> INDĖLIAI APSAUGOTI</w:t>
            </w:r>
          </w:p>
        </w:tc>
      </w:tr>
      <w:tr w:rsidR="00664C7B" w:rsidRPr="00474018" w:rsidTr="0013695E">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Pr="00474018" w:rsidRDefault="00664C7B" w:rsidP="00474018">
            <w:pPr>
              <w:tabs>
                <w:tab w:val="left" w:pos="993"/>
              </w:tabs>
              <w:spacing w:after="0" w:line="240" w:lineRule="auto"/>
              <w:ind w:firstLine="289"/>
              <w:jc w:val="both"/>
              <w:rPr>
                <w:rFonts w:ascii="Times New Roman" w:eastAsia="BatangChe" w:hAnsi="Times New Roman"/>
                <w:sz w:val="20"/>
                <w:szCs w:val="20"/>
                <w:lang w:val="lt-LT" w:eastAsia="lt-LT"/>
              </w:rPr>
            </w:pPr>
            <w:r w:rsidRPr="00664C7B">
              <w:rPr>
                <w:rFonts w:ascii="Times New Roman" w:eastAsia="BatangChe" w:hAnsi="Times New Roman"/>
                <w:b/>
                <w:sz w:val="20"/>
                <w:szCs w:val="20"/>
                <w:lang w:val="lt-LT" w:eastAsia="lt-LT"/>
              </w:rPr>
              <w:t>Kauno kredito unija</w:t>
            </w:r>
            <w:r w:rsidRPr="00474018">
              <w:rPr>
                <w:rFonts w:ascii="Times New Roman" w:eastAsia="BatangChe" w:hAnsi="Times New Roman"/>
                <w:sz w:val="20"/>
                <w:szCs w:val="20"/>
                <w:lang w:val="lt-LT" w:eastAsia="lt-LT"/>
              </w:rPr>
              <w:t xml:space="preserve"> yra Lietuvos Respublikos indėlių garantijų sistemos dalyvis.</w:t>
            </w:r>
          </w:p>
          <w:p w:rsidR="00664C7B" w:rsidRPr="00474018" w:rsidRDefault="00664C7B" w:rsidP="00351C7F">
            <w:pPr>
              <w:tabs>
                <w:tab w:val="left" w:pos="993"/>
              </w:tabs>
              <w:spacing w:after="0" w:line="240" w:lineRule="auto"/>
              <w:ind w:firstLine="289"/>
              <w:jc w:val="both"/>
              <w:rPr>
                <w:rFonts w:ascii="Times New Roman" w:eastAsia="Times New Roman" w:hAnsi="Times New Roman"/>
                <w:sz w:val="20"/>
                <w:szCs w:val="20"/>
                <w:lang w:val="lt-LT" w:eastAsia="lt-LT"/>
              </w:rPr>
            </w:pPr>
            <w:r w:rsidRPr="00474018">
              <w:rPr>
                <w:rFonts w:ascii="Times New Roman" w:eastAsia="BatangChe" w:hAnsi="Times New Roman"/>
                <w:sz w:val="20"/>
                <w:szCs w:val="20"/>
                <w:lang w:val="lt-LT" w:eastAsia="lt-LT"/>
              </w:rPr>
              <w:t>Valstybės įmonė „Indėlių ir investicijų draudimas“ Lietuvos Respublikos indėlių ir įsipareigojimų investuotojams draudimo įstatymo nustatyta tvarka ir sąlygomis apdraudžia indėlininkų indėlius.</w:t>
            </w:r>
          </w:p>
        </w:tc>
      </w:tr>
      <w:tr w:rsidR="00664C7B" w:rsidRPr="00474018" w:rsidTr="00AD717C">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474018" w:rsidRDefault="00664C7B" w:rsidP="00474018">
            <w:pPr>
              <w:spacing w:after="0" w:line="240" w:lineRule="auto"/>
              <w:ind w:firstLine="289"/>
              <w:jc w:val="both"/>
              <w:rPr>
                <w:rFonts w:ascii="Times New Roman" w:eastAsia="Times New Roman" w:hAnsi="Times New Roman"/>
                <w:b/>
                <w:sz w:val="20"/>
                <w:szCs w:val="20"/>
                <w:lang w:val="lt-LT" w:eastAsia="lt-LT"/>
              </w:rPr>
            </w:pPr>
            <w:r>
              <w:rPr>
                <w:rFonts w:ascii="Times New Roman" w:eastAsia="Times New Roman" w:hAnsi="Times New Roman"/>
                <w:b/>
                <w:sz w:val="20"/>
                <w:szCs w:val="20"/>
                <w:lang w:val="lt-LT" w:eastAsia="lt-LT"/>
              </w:rPr>
              <w:t>APSAUGOS RIBA</w:t>
            </w:r>
          </w:p>
        </w:tc>
      </w:tr>
      <w:tr w:rsidR="00664C7B" w:rsidRPr="00474018" w:rsidTr="001E100F">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Pr="00474018" w:rsidRDefault="00664C7B" w:rsidP="00474018">
            <w:pPr>
              <w:spacing w:after="0" w:line="240" w:lineRule="auto"/>
              <w:ind w:firstLine="289"/>
              <w:jc w:val="both"/>
              <w:rPr>
                <w:rFonts w:ascii="Times New Roman" w:eastAsia="Times New Roman" w:hAnsi="Times New Roman"/>
                <w:sz w:val="20"/>
                <w:szCs w:val="20"/>
                <w:lang w:val="lt-LT"/>
              </w:rPr>
            </w:pPr>
            <w:r w:rsidRPr="00474018">
              <w:rPr>
                <w:rFonts w:ascii="Times New Roman" w:eastAsia="Times New Roman" w:hAnsi="Times New Roman"/>
                <w:b/>
                <w:sz w:val="20"/>
                <w:szCs w:val="20"/>
                <w:lang w:val="lt-LT" w:eastAsia="lt-LT"/>
              </w:rPr>
              <w:t>Maksimali draudimo išmokos suma</w:t>
            </w:r>
            <w:r w:rsidRPr="00474018">
              <w:rPr>
                <w:rFonts w:ascii="Times New Roman" w:eastAsia="Times New Roman" w:hAnsi="Times New Roman"/>
                <w:sz w:val="20"/>
                <w:szCs w:val="20"/>
                <w:lang w:val="lt-LT" w:eastAsia="lt-LT"/>
              </w:rPr>
              <w:t xml:space="preserve"> (ne didesnė kaip 100 000 eurų) taikoma vienam indėlininkui. </w:t>
            </w:r>
            <w:r w:rsidRPr="00474018">
              <w:rPr>
                <w:rFonts w:ascii="Times New Roman" w:eastAsia="Times New Roman" w:hAnsi="Times New Roman"/>
                <w:b/>
                <w:sz w:val="20"/>
                <w:szCs w:val="20"/>
                <w:lang w:val="lt-LT" w:eastAsia="lt-LT"/>
              </w:rPr>
              <w:t>Indėlių draudimo suma</w:t>
            </w:r>
            <w:r w:rsidRPr="00474018">
              <w:rPr>
                <w:rFonts w:ascii="Times New Roman" w:eastAsia="Times New Roman" w:hAnsi="Times New Roman"/>
                <w:sz w:val="20"/>
                <w:szCs w:val="20"/>
                <w:lang w:val="lt-LT" w:eastAsia="lt-LT"/>
              </w:rPr>
              <w:t xml:space="preserve"> yra lygi indėlininko indėliui, buvusiam banke, banko filiale arba kredito unijoje draudžiamojo įvykio dieną, tačiau ji negali būti didesnė kaip 100 000 eurų. </w:t>
            </w:r>
            <w:r w:rsidRPr="00474018">
              <w:rPr>
                <w:rFonts w:ascii="Times New Roman" w:eastAsia="Times New Roman" w:hAnsi="Times New Roman"/>
                <w:sz w:val="20"/>
                <w:szCs w:val="20"/>
                <w:lang w:val="lt-LT"/>
              </w:rPr>
              <w:t>Draudimo išmokos už indėlius ir draudimo išmokos už įsipareigojimus investuotojams apskaičiuojamos ir išmokamos atskirai.</w:t>
            </w:r>
          </w:p>
          <w:p w:rsidR="00664C7B" w:rsidRPr="00474018" w:rsidRDefault="00664C7B" w:rsidP="00474018">
            <w:pPr>
              <w:spacing w:after="0" w:line="240" w:lineRule="auto"/>
              <w:ind w:firstLine="289"/>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 xml:space="preserve">Indėlininkas įgyja teisę į draudimo išmoką nuo draudžiamojo įvykio dienos. </w:t>
            </w:r>
          </w:p>
          <w:p w:rsidR="00664C7B" w:rsidRPr="00474018" w:rsidRDefault="00664C7B" w:rsidP="00474018">
            <w:pPr>
              <w:spacing w:after="0" w:line="240" w:lineRule="auto"/>
              <w:ind w:firstLine="289"/>
              <w:jc w:val="both"/>
              <w:rPr>
                <w:rFonts w:ascii="Times New Roman" w:eastAsia="Times New Roman" w:hAnsi="Times New Roman"/>
                <w:sz w:val="20"/>
                <w:szCs w:val="20"/>
                <w:lang w:val="lt-LT" w:eastAsia="lt-LT"/>
              </w:rPr>
            </w:pPr>
            <w:r w:rsidRPr="00474018">
              <w:rPr>
                <w:rFonts w:ascii="Times New Roman" w:eastAsia="Times New Roman" w:hAnsi="Times New Roman"/>
                <w:bCs/>
                <w:sz w:val="20"/>
                <w:szCs w:val="20"/>
                <w:lang w:val="lt-LT" w:eastAsia="lt-LT"/>
              </w:rPr>
              <w:t xml:space="preserve">Draudžiamasis </w:t>
            </w:r>
            <w:r w:rsidRPr="00474018">
              <w:rPr>
                <w:rFonts w:ascii="Times New Roman" w:eastAsia="Times New Roman" w:hAnsi="Times New Roman"/>
                <w:sz w:val="20"/>
                <w:szCs w:val="20"/>
                <w:lang w:val="lt-LT" w:eastAsia="lt-LT"/>
              </w:rPr>
              <w:t xml:space="preserve">įvykis – bankroto bylos iškėlimas kredito unijai, bankui ar įmonei arba priežiūros institucijos sprendimo dėl poveikio priemonės taikymo ar investicinių paslaugų teikimo nutraukimo priėmimas, kai kredito unija, bankas ar banko filialas negali atsiskaityti su kreditoriais ar kai įmonė ar įmonės filialas yra nepajėgi (nepajėgus) įvykdyti įsipareigojimų investuotojams. </w:t>
            </w:r>
          </w:p>
          <w:p w:rsidR="00664C7B" w:rsidRPr="00474018" w:rsidRDefault="00664C7B" w:rsidP="00474018">
            <w:pPr>
              <w:spacing w:after="0" w:line="240" w:lineRule="auto"/>
              <w:ind w:firstLine="289"/>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Jei įvyks draudžiamasis įvykis, valstybės įmonė „Indėlių ir investicijų draudimas“ nustatyta tvarka ir sąlygomis išmokės draudimo išmoką, tačiau ji negali būti didesnė kaip 100 000 eurų.</w:t>
            </w:r>
          </w:p>
          <w:p w:rsidR="00664C7B" w:rsidRPr="00474018" w:rsidRDefault="00664C7B" w:rsidP="00474018">
            <w:pPr>
              <w:tabs>
                <w:tab w:val="left" w:pos="993"/>
                <w:tab w:val="left" w:pos="1276"/>
              </w:tabs>
              <w:spacing w:after="0" w:line="240" w:lineRule="auto"/>
              <w:ind w:firstLine="289"/>
              <w:jc w:val="both"/>
              <w:rPr>
                <w:rFonts w:ascii="Times New Roman" w:eastAsia="BatangChe" w:hAnsi="Times New Roman"/>
                <w:sz w:val="20"/>
                <w:szCs w:val="20"/>
                <w:lang w:val="lt-LT" w:eastAsia="lt-LT"/>
              </w:rPr>
            </w:pPr>
            <w:r w:rsidRPr="00474018">
              <w:rPr>
                <w:rFonts w:ascii="Times New Roman" w:eastAsia="BatangChe" w:hAnsi="Times New Roman"/>
                <w:b/>
                <w:sz w:val="20"/>
                <w:szCs w:val="20"/>
                <w:lang w:val="lt-LT" w:eastAsia="lt-LT"/>
              </w:rPr>
              <w:t>Indėlių draudimo objektas</w:t>
            </w:r>
            <w:r w:rsidRPr="00474018">
              <w:rPr>
                <w:rFonts w:ascii="Times New Roman" w:eastAsia="BatangChe" w:hAnsi="Times New Roman"/>
                <w:sz w:val="20"/>
                <w:szCs w:val="20"/>
                <w:lang w:val="lt-LT" w:eastAsia="lt-LT"/>
              </w:rPr>
              <w:t xml:space="preserve"> yra indėlininkų indėliai </w:t>
            </w:r>
            <w:r>
              <w:rPr>
                <w:rFonts w:ascii="Times New Roman" w:eastAsia="BatangChe" w:hAnsi="Times New Roman"/>
                <w:sz w:val="20"/>
                <w:szCs w:val="20"/>
                <w:lang w:val="lt-LT" w:eastAsia="lt-LT"/>
              </w:rPr>
              <w:t>eurais</w:t>
            </w:r>
            <w:r w:rsidRPr="00474018">
              <w:rPr>
                <w:rFonts w:ascii="Times New Roman" w:eastAsia="BatangChe" w:hAnsi="Times New Roman"/>
                <w:sz w:val="20"/>
                <w:szCs w:val="20"/>
                <w:lang w:val="lt-LT" w:eastAsia="lt-LT"/>
              </w:rPr>
              <w:t xml:space="preserve"> ir užsienio valiuta – Jungtin</w:t>
            </w:r>
            <w:r>
              <w:rPr>
                <w:rFonts w:ascii="Times New Roman" w:eastAsia="BatangChe" w:hAnsi="Times New Roman"/>
                <w:sz w:val="20"/>
                <w:szCs w:val="20"/>
                <w:lang w:val="lt-LT" w:eastAsia="lt-LT"/>
              </w:rPr>
              <w:t xml:space="preserve">ių Amerikos Valstijų doleriais </w:t>
            </w:r>
            <w:r w:rsidRPr="00474018">
              <w:rPr>
                <w:rFonts w:ascii="Times New Roman" w:eastAsia="BatangChe" w:hAnsi="Times New Roman"/>
                <w:sz w:val="20"/>
                <w:szCs w:val="20"/>
                <w:lang w:val="lt-LT" w:eastAsia="lt-LT"/>
              </w:rPr>
              <w:t xml:space="preserve">ir Europos Sąjungos valstybių narių ir Europos ekonominės erdvės valstybių (toliau – Europos valstybių) nacionalinėmis valiutomis. Kitos užsienio valiutos indėliai nėra draudžiami. </w:t>
            </w:r>
          </w:p>
          <w:p w:rsidR="00664C7B" w:rsidRPr="00474018" w:rsidRDefault="00664C7B" w:rsidP="00474018">
            <w:pPr>
              <w:tabs>
                <w:tab w:val="left" w:pos="993"/>
                <w:tab w:val="left" w:pos="1276"/>
              </w:tabs>
              <w:spacing w:after="0" w:line="240" w:lineRule="auto"/>
              <w:ind w:firstLine="289"/>
              <w:jc w:val="both"/>
              <w:rPr>
                <w:rFonts w:ascii="Times New Roman" w:eastAsia="BatangChe" w:hAnsi="Times New Roman"/>
                <w:sz w:val="20"/>
                <w:szCs w:val="20"/>
                <w:lang w:val="lt-LT" w:eastAsia="lt-LT"/>
              </w:rPr>
            </w:pPr>
            <w:r w:rsidRPr="00474018">
              <w:rPr>
                <w:rFonts w:ascii="Times New Roman" w:eastAsia="BatangChe" w:hAnsi="Times New Roman"/>
                <w:b/>
                <w:bCs/>
                <w:sz w:val="20"/>
                <w:szCs w:val="20"/>
                <w:lang w:val="lt-LT" w:eastAsia="lt-LT"/>
              </w:rPr>
              <w:t>Indėlis</w:t>
            </w:r>
            <w:r w:rsidRPr="00474018">
              <w:rPr>
                <w:rFonts w:ascii="Times New Roman" w:eastAsia="BatangChe" w:hAnsi="Times New Roman"/>
                <w:b/>
                <w:sz w:val="20"/>
                <w:szCs w:val="20"/>
                <w:lang w:val="lt-LT" w:eastAsia="lt-LT"/>
              </w:rPr>
              <w:t xml:space="preserve"> yra</w:t>
            </w:r>
            <w:r w:rsidRPr="00474018">
              <w:rPr>
                <w:rFonts w:ascii="Times New Roman" w:eastAsia="BatangChe" w:hAnsi="Times New Roman"/>
                <w:sz w:val="20"/>
                <w:szCs w:val="20"/>
                <w:lang w:val="lt-LT" w:eastAsia="lt-LT"/>
              </w:rPr>
              <w:t xml:space="preserve"> indėlininko pinigų, laikomų banke, banko filiale arba kredito unijoje pagal banko indėlio ir (ar) banko sąskaitos sutartis, ir kitų pinigų, į kuriuos indėlininkas turi reikalavimo teises, atsirandančias iš kredito įstaigos įsipareigojimo atlikti operacijas su indėlininko pinigais ar suteikti investicines paslaugas, suma (įskaitant priskaičiuotas palūkanas). Į indėlio sumą įskaitomos ne vien indėlininko sąskaitose draudžiamojo įvykio dienai esančios sumos, bet ir draudžiamojo įvykio dienai priskaičiuotos palūkanos.</w:t>
            </w:r>
          </w:p>
          <w:p w:rsidR="00664C7B" w:rsidRPr="00474018" w:rsidRDefault="00664C7B" w:rsidP="00474018">
            <w:pPr>
              <w:tabs>
                <w:tab w:val="left" w:pos="993"/>
                <w:tab w:val="left" w:pos="1276"/>
              </w:tabs>
              <w:spacing w:after="0" w:line="240" w:lineRule="auto"/>
              <w:ind w:firstLine="289"/>
              <w:jc w:val="both"/>
              <w:rPr>
                <w:rFonts w:ascii="Times New Roman" w:eastAsia="BatangChe" w:hAnsi="Times New Roman"/>
                <w:b/>
                <w:sz w:val="20"/>
                <w:szCs w:val="20"/>
                <w:lang w:val="lt-LT" w:eastAsia="lt-LT"/>
              </w:rPr>
            </w:pPr>
            <w:r w:rsidRPr="00474018">
              <w:rPr>
                <w:rFonts w:ascii="Times New Roman" w:eastAsia="BatangChe" w:hAnsi="Times New Roman"/>
                <w:b/>
                <w:sz w:val="20"/>
                <w:szCs w:val="20"/>
                <w:lang w:val="lt-LT" w:eastAsia="lt-LT"/>
              </w:rPr>
              <w:t>Indėlininku laikomas</w:t>
            </w:r>
            <w:r w:rsidRPr="00474018">
              <w:rPr>
                <w:rFonts w:ascii="Times New Roman" w:eastAsia="BatangChe" w:hAnsi="Times New Roman"/>
                <w:sz w:val="20"/>
                <w:szCs w:val="20"/>
                <w:lang w:val="lt-LT" w:eastAsia="lt-LT"/>
              </w:rPr>
              <w:t xml:space="preserve"> fizinis arba juridinis asmuo, laikantis indėlį banke, banko filiale arba kredito unijoje, išskyrus subjektus, kurių indėliai pagal Lietuvos Respublikos indėlių ir įsipareigojimų investuotojams draudimo negali būti draudimo objektai.</w:t>
            </w:r>
            <w:r w:rsidRPr="00474018">
              <w:rPr>
                <w:rFonts w:ascii="Times New Roman" w:eastAsia="BatangChe" w:hAnsi="Times New Roman"/>
                <w:b/>
                <w:sz w:val="20"/>
                <w:szCs w:val="20"/>
                <w:lang w:val="lt-LT" w:eastAsia="lt-LT"/>
              </w:rPr>
              <w:t xml:space="preserve"> </w:t>
            </w:r>
          </w:p>
          <w:p w:rsidR="00664C7B" w:rsidRPr="00474018" w:rsidRDefault="00664C7B" w:rsidP="00474018">
            <w:pPr>
              <w:tabs>
                <w:tab w:val="left" w:pos="993"/>
                <w:tab w:val="left" w:pos="1276"/>
              </w:tabs>
              <w:spacing w:after="0" w:line="240" w:lineRule="auto"/>
              <w:ind w:firstLine="289"/>
              <w:jc w:val="both"/>
              <w:rPr>
                <w:rFonts w:ascii="Times New Roman" w:eastAsia="BatangChe" w:hAnsi="Times New Roman"/>
                <w:sz w:val="20"/>
                <w:szCs w:val="20"/>
                <w:lang w:val="lt-LT" w:eastAsia="lt-LT"/>
              </w:rPr>
            </w:pPr>
            <w:r w:rsidRPr="00474018">
              <w:rPr>
                <w:rFonts w:ascii="Times New Roman" w:eastAsia="BatangChe" w:hAnsi="Times New Roman"/>
                <w:b/>
                <w:sz w:val="20"/>
                <w:szCs w:val="20"/>
                <w:lang w:val="lt-LT" w:eastAsia="lt-LT"/>
              </w:rPr>
              <w:t>Indėlininku nelaikytinas:</w:t>
            </w:r>
            <w:r w:rsidRPr="00474018">
              <w:rPr>
                <w:rFonts w:ascii="Times New Roman" w:eastAsia="BatangChe" w:hAnsi="Times New Roman"/>
                <w:sz w:val="20"/>
                <w:szCs w:val="20"/>
                <w:lang w:val="lt-LT" w:eastAsia="lt-LT"/>
              </w:rPr>
              <w:t xml:space="preserve"> 1) Lietuvos bankas; 2) valstybės įmonė „Indėlių ir investicijų draudimas“; 3) kredito įstaiga 4) finansų maklerio įmonė; 5) pagal Draudimo įstatymą veikianti draudimo įmonė; 6) pensijų fondas; 7) valdymo įmonė; 8) įmonė, kuri verčiasi lizingu (finansine nuoma); 9) kolektyvinio investavimo subjektas. Šių asmenų indėliai nėra draudžiami. </w:t>
            </w:r>
          </w:p>
          <w:p w:rsidR="00664C7B" w:rsidRPr="00474018" w:rsidRDefault="00664C7B" w:rsidP="00474018">
            <w:pPr>
              <w:tabs>
                <w:tab w:val="left" w:pos="993"/>
              </w:tabs>
              <w:spacing w:after="0" w:line="240" w:lineRule="auto"/>
              <w:ind w:firstLine="289"/>
              <w:jc w:val="both"/>
              <w:rPr>
                <w:rFonts w:ascii="Times New Roman" w:eastAsia="BatangChe" w:hAnsi="Times New Roman"/>
                <w:b/>
                <w:sz w:val="20"/>
                <w:szCs w:val="20"/>
                <w:lang w:val="lt-LT" w:eastAsia="lt-LT"/>
              </w:rPr>
            </w:pPr>
            <w:r w:rsidRPr="00474018">
              <w:rPr>
                <w:rFonts w:ascii="Times New Roman" w:eastAsia="BatangChe" w:hAnsi="Times New Roman"/>
                <w:b/>
                <w:sz w:val="20"/>
                <w:szCs w:val="20"/>
                <w:lang w:val="lt-LT" w:eastAsia="lt-LT"/>
              </w:rPr>
              <w:t>Draudimo objektas nėra:</w:t>
            </w:r>
          </w:p>
          <w:p w:rsidR="00664C7B" w:rsidRPr="00474018" w:rsidRDefault="00664C7B" w:rsidP="00474018">
            <w:pPr>
              <w:tabs>
                <w:tab w:val="left" w:pos="993"/>
              </w:tabs>
              <w:spacing w:after="0" w:line="240" w:lineRule="auto"/>
              <w:ind w:firstLine="289"/>
              <w:jc w:val="both"/>
              <w:rPr>
                <w:rFonts w:ascii="Times New Roman" w:eastAsia="BatangChe" w:hAnsi="Times New Roman"/>
                <w:sz w:val="20"/>
                <w:szCs w:val="20"/>
                <w:lang w:val="lt-LT" w:eastAsia="lt-LT"/>
              </w:rPr>
            </w:pPr>
            <w:r>
              <w:rPr>
                <w:rFonts w:ascii="Times New Roman" w:eastAsia="BatangChe" w:hAnsi="Times New Roman"/>
                <w:sz w:val="20"/>
                <w:szCs w:val="20"/>
                <w:lang w:val="lt-LT" w:eastAsia="lt-LT"/>
              </w:rPr>
              <w:t>1.Pačios</w:t>
            </w:r>
            <w:r w:rsidRPr="00474018">
              <w:rPr>
                <w:rFonts w:ascii="Times New Roman" w:eastAsia="BatangChe" w:hAnsi="Times New Roman"/>
                <w:sz w:val="20"/>
                <w:szCs w:val="20"/>
                <w:lang w:val="lt-LT" w:eastAsia="lt-LT"/>
              </w:rPr>
              <w:t xml:space="preserve"> </w:t>
            </w:r>
            <w:r w:rsidRPr="00664C7B">
              <w:rPr>
                <w:rFonts w:ascii="Times New Roman" w:eastAsia="BatangChe" w:hAnsi="Times New Roman"/>
                <w:b/>
                <w:sz w:val="20"/>
                <w:szCs w:val="20"/>
                <w:lang w:val="lt-LT" w:eastAsia="lt-LT"/>
              </w:rPr>
              <w:t>Kauno kredito unijos</w:t>
            </w:r>
            <w:r>
              <w:rPr>
                <w:rFonts w:ascii="Times New Roman" w:eastAsia="BatangChe" w:hAnsi="Times New Roman"/>
                <w:sz w:val="20"/>
                <w:szCs w:val="20"/>
                <w:lang w:val="lt-LT" w:eastAsia="lt-LT"/>
              </w:rPr>
              <w:t xml:space="preserve"> </w:t>
            </w:r>
            <w:r w:rsidRPr="00474018">
              <w:rPr>
                <w:rFonts w:ascii="Times New Roman" w:eastAsia="BatangChe" w:hAnsi="Times New Roman"/>
                <w:sz w:val="20"/>
                <w:szCs w:val="20"/>
                <w:lang w:val="lt-LT" w:eastAsia="lt-LT"/>
              </w:rPr>
              <w:t>(Draudėjo pavadinimas) išleisti skolos vertybiniai popieriai (indėlio sertifikatai) ir įsipareigojimai, susiję su jo akceptuotais bei paprastaisiais vekseliais.</w:t>
            </w:r>
          </w:p>
          <w:p w:rsidR="00664C7B" w:rsidRPr="00474018" w:rsidRDefault="00664C7B" w:rsidP="00474018">
            <w:pPr>
              <w:tabs>
                <w:tab w:val="left" w:pos="993"/>
              </w:tabs>
              <w:spacing w:after="0" w:line="240" w:lineRule="auto"/>
              <w:ind w:firstLine="289"/>
              <w:jc w:val="both"/>
              <w:rPr>
                <w:rFonts w:ascii="Times New Roman" w:eastAsia="BatangChe" w:hAnsi="Times New Roman"/>
                <w:sz w:val="20"/>
                <w:szCs w:val="20"/>
                <w:lang w:val="lt-LT" w:eastAsia="lt-LT"/>
              </w:rPr>
            </w:pPr>
            <w:r w:rsidRPr="00474018">
              <w:rPr>
                <w:rFonts w:ascii="Times New Roman" w:eastAsia="BatangChe" w:hAnsi="Times New Roman"/>
                <w:sz w:val="20"/>
                <w:szCs w:val="20"/>
                <w:lang w:val="lt-LT" w:eastAsia="lt-LT"/>
              </w:rPr>
              <w:t>2. Pagal Lietuvos Respublikos hipotekinių obligacijų ir hipotekinio kreditavimo įstatymą išleistos hipotekinės obligacijos.</w:t>
            </w:r>
          </w:p>
          <w:p w:rsidR="00664C7B" w:rsidRPr="00474018" w:rsidRDefault="00664C7B" w:rsidP="00474018">
            <w:pPr>
              <w:tabs>
                <w:tab w:val="left" w:pos="993"/>
              </w:tabs>
              <w:spacing w:after="0" w:line="240" w:lineRule="auto"/>
              <w:ind w:firstLine="289"/>
              <w:jc w:val="both"/>
              <w:rPr>
                <w:rFonts w:ascii="Times New Roman" w:eastAsia="BatangChe" w:hAnsi="Times New Roman"/>
                <w:sz w:val="20"/>
                <w:szCs w:val="20"/>
                <w:lang w:val="lt-LT" w:eastAsia="lt-LT"/>
              </w:rPr>
            </w:pPr>
            <w:r w:rsidRPr="00474018">
              <w:rPr>
                <w:rFonts w:ascii="Times New Roman" w:eastAsia="BatangChe" w:hAnsi="Times New Roman"/>
                <w:sz w:val="20"/>
                <w:szCs w:val="20"/>
                <w:lang w:val="lt-LT" w:eastAsia="lt-LT"/>
              </w:rPr>
              <w:t>3. Toliau išvardytų subjektų indėliai ar įsipareigojimai jiems: Lietuvos banko; draudimo įmonės; kredito įstaigų; finansų maklerio įmonių; pagal Draudimo įstatymą veikiančių draudimo įmonių; pensijų fondų; valdymo įmonių; įmonių, kurios verčiasi lizingu (finansine nuoma); kolektyvinio investavimo subjektų.</w:t>
            </w:r>
          </w:p>
          <w:p w:rsidR="00664C7B" w:rsidRPr="00474018" w:rsidRDefault="00664C7B" w:rsidP="00474018">
            <w:pPr>
              <w:tabs>
                <w:tab w:val="left" w:pos="993"/>
              </w:tabs>
              <w:spacing w:after="0" w:line="240" w:lineRule="auto"/>
              <w:ind w:firstLine="289"/>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Pajus nėra draudimo objektas (taikoma tik kredito unijoms).</w:t>
            </w:r>
          </w:p>
          <w:p w:rsidR="00664C7B" w:rsidRPr="00474018" w:rsidRDefault="00664C7B" w:rsidP="00474018">
            <w:pPr>
              <w:spacing w:after="0" w:line="240" w:lineRule="auto"/>
              <w:ind w:firstLine="289"/>
              <w:jc w:val="both"/>
              <w:rPr>
                <w:rFonts w:ascii="Times New Roman" w:eastAsia="Times New Roman" w:hAnsi="Times New Roman"/>
                <w:sz w:val="20"/>
                <w:szCs w:val="20"/>
                <w:lang w:val="lt-LT" w:eastAsia="lt-LT"/>
              </w:rPr>
            </w:pPr>
            <w:r w:rsidRPr="00474018">
              <w:rPr>
                <w:rFonts w:ascii="Times New Roman" w:eastAsia="BatangChe" w:hAnsi="Times New Roman"/>
                <w:sz w:val="20"/>
                <w:szCs w:val="20"/>
                <w:lang w:val="lt-LT" w:eastAsia="lt-LT"/>
              </w:rPr>
              <w:t xml:space="preserve">Tam tikriems indėlininkams ar indėliams </w:t>
            </w:r>
            <w:r w:rsidRPr="00474018">
              <w:rPr>
                <w:rFonts w:ascii="Times New Roman" w:eastAsia="BatangChe" w:hAnsi="Times New Roman"/>
                <w:b/>
                <w:sz w:val="20"/>
                <w:szCs w:val="20"/>
                <w:lang w:val="lt-LT" w:eastAsia="lt-LT"/>
              </w:rPr>
              <w:t>draudimo išmokos nemokamos</w:t>
            </w:r>
            <w:r w:rsidRPr="00474018">
              <w:rPr>
                <w:rFonts w:ascii="Times New Roman" w:eastAsia="BatangChe" w:hAnsi="Times New Roman"/>
                <w:sz w:val="20"/>
                <w:szCs w:val="20"/>
                <w:lang w:val="lt-LT" w:eastAsia="lt-LT"/>
              </w:rPr>
              <w:t xml:space="preserve"> (Jei informacija pateikiama interneto svetainėje pateikiama aktyvi nuoroda į Lietuvos Respublikos indėlių ir įsipareigojimų investuotojams draudimo įstatymo 12 straipsnį (iš Teisės aktų registro). Jei informacija pateikiama popieriuje, tai nurodomas visas Lietuvos Respublikos indėlių ir įsipareigojimų investuotojams draudimo įstatymo 12 straipsnio tekstas).</w:t>
            </w:r>
          </w:p>
        </w:tc>
      </w:tr>
      <w:tr w:rsidR="00664C7B" w:rsidRPr="00474018" w:rsidTr="00084ADA">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474018" w:rsidRDefault="00664C7B" w:rsidP="00664C7B">
            <w:pPr>
              <w:spacing w:after="0" w:line="240" w:lineRule="auto"/>
              <w:ind w:firstLine="292"/>
              <w:jc w:val="center"/>
              <w:rPr>
                <w:rFonts w:ascii="Times New Roman" w:eastAsia="BatangChe" w:hAnsi="Times New Roman"/>
                <w:sz w:val="20"/>
                <w:szCs w:val="20"/>
                <w:lang w:val="lt-LT" w:eastAsia="lt-LT"/>
              </w:rPr>
            </w:pPr>
            <w:r w:rsidRPr="00474018">
              <w:rPr>
                <w:rFonts w:ascii="Times New Roman" w:eastAsia="Times New Roman" w:hAnsi="Times New Roman"/>
                <w:b/>
                <w:sz w:val="20"/>
                <w:szCs w:val="20"/>
                <w:lang w:val="lt-LT" w:eastAsia="lt-LT"/>
              </w:rPr>
              <w:t>Jei turite daugiau indėlių toje pačioje kredito įstaigoje:</w:t>
            </w:r>
          </w:p>
        </w:tc>
      </w:tr>
      <w:tr w:rsidR="00664C7B" w:rsidRPr="00474018" w:rsidTr="004D4D9F">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Pr="00474018" w:rsidRDefault="00664C7B" w:rsidP="00474018">
            <w:pPr>
              <w:spacing w:after="0" w:line="240" w:lineRule="auto"/>
              <w:ind w:firstLine="292"/>
              <w:jc w:val="both"/>
              <w:rPr>
                <w:rFonts w:ascii="Times New Roman" w:eastAsia="BatangChe" w:hAnsi="Times New Roman"/>
                <w:sz w:val="20"/>
                <w:szCs w:val="20"/>
                <w:lang w:val="lt-LT" w:eastAsia="lt-LT"/>
              </w:rPr>
            </w:pPr>
            <w:r w:rsidRPr="00474018">
              <w:rPr>
                <w:rFonts w:ascii="Times New Roman" w:eastAsia="BatangChe" w:hAnsi="Times New Roman"/>
                <w:sz w:val="20"/>
                <w:szCs w:val="20"/>
                <w:lang w:val="lt-LT" w:eastAsia="lt-LT"/>
              </w:rPr>
              <w:t>Visi jūsų indėliai, laikomi toje pačioje kredito įstaigoje, sumuojami ir bendrai sumai taikoma 100 000 eurų. Tai reiškia, kad siekiant nustatyti draudimo išmokos dydį, visi toje pačioje kredito įstaigoje laikomi indėliai yra susumuojami. Pavyzdžiui, jeigu indėlininkas turi taupomąją sąskaitą, kurioje yra 90 000 eurų, ir einamąją sąskaitą, kurioje yra 20 000 eurų, jam bus kompensuojama tik 100 000 eurų.</w:t>
            </w:r>
          </w:p>
          <w:p w:rsidR="00664C7B" w:rsidRPr="00474018" w:rsidRDefault="00664C7B" w:rsidP="00474018">
            <w:pPr>
              <w:tabs>
                <w:tab w:val="left" w:pos="851"/>
              </w:tabs>
              <w:spacing w:after="0" w:line="240" w:lineRule="auto"/>
              <w:ind w:firstLine="292"/>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Vieno fizinio asmens bendra indėlio suma nustatoma sudėjus visus konkrečiam fiziniam asmeniui priklausančius indėlius, esančius skirtingose tos pačioje kredito įstaigos sąskaitose.</w:t>
            </w:r>
          </w:p>
          <w:p w:rsidR="00664C7B" w:rsidRPr="00474018" w:rsidRDefault="00664C7B" w:rsidP="00474018">
            <w:pPr>
              <w:tabs>
                <w:tab w:val="left" w:pos="851"/>
              </w:tabs>
              <w:spacing w:after="0" w:line="240" w:lineRule="auto"/>
              <w:ind w:firstLine="292"/>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 xml:space="preserve">Vieno juridinio asmens bendra indėlio suma nustatoma sudėjus visus konkrečiam juridiniam asmeniui priklausančius indėlius, esančius skirtingose tos pačioje kredito įstaigos sąskaitose, ir to juridinio asmens filialams, atstovybėms ar kitiems struktūriniams padaliniams priklausančius indėlius, esančius skirtingose tos pačioje kredito įstaigos sąskaitose. Tai reiškia, kad kredito įstaigoje skirtingose sąskaitose esančios juridinio asmens ir jo struktūrinių padalinių (filialų ir (ar) atstovybių ar pan.) lėšos turi būti sumuojamos kartu, o bendrai išmokėtina maksimali draudimo išmokos suma negali viršyti </w:t>
            </w:r>
            <w:r w:rsidRPr="00474018">
              <w:rPr>
                <w:rFonts w:ascii="Times New Roman" w:eastAsia="BatangChe" w:hAnsi="Times New Roman"/>
                <w:sz w:val="20"/>
                <w:szCs w:val="20"/>
                <w:lang w:val="lt-LT" w:eastAsia="lt-LT"/>
              </w:rPr>
              <w:t xml:space="preserve">100 000 eurų </w:t>
            </w:r>
            <w:r w:rsidRPr="00474018">
              <w:rPr>
                <w:rFonts w:ascii="Times New Roman" w:eastAsia="Times New Roman" w:hAnsi="Times New Roman"/>
                <w:sz w:val="20"/>
                <w:szCs w:val="20"/>
                <w:lang w:val="lt-LT" w:eastAsia="lt-LT"/>
              </w:rPr>
              <w:t>ir ji išmokėtina tik juridiniam asmeniui.</w:t>
            </w:r>
          </w:p>
        </w:tc>
      </w:tr>
      <w:tr w:rsidR="00664C7B" w:rsidRPr="00474018" w:rsidTr="00C80618">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474018" w:rsidRDefault="00664C7B" w:rsidP="00664C7B">
            <w:pPr>
              <w:spacing w:after="0" w:line="240" w:lineRule="auto"/>
              <w:jc w:val="center"/>
              <w:rPr>
                <w:rFonts w:ascii="Times New Roman" w:eastAsia="Times New Roman" w:hAnsi="Times New Roman"/>
                <w:sz w:val="20"/>
                <w:szCs w:val="20"/>
                <w:lang w:val="lt-LT" w:eastAsia="lt-LT"/>
              </w:rPr>
            </w:pPr>
            <w:r w:rsidRPr="00474018">
              <w:rPr>
                <w:rFonts w:ascii="Times New Roman" w:eastAsia="Times New Roman" w:hAnsi="Times New Roman"/>
                <w:b/>
                <w:sz w:val="20"/>
                <w:szCs w:val="20"/>
                <w:lang w:val="lt-LT" w:eastAsia="lt-LT"/>
              </w:rPr>
              <w:t>Jei turite bendrą sąskaitą su kitu (-</w:t>
            </w:r>
            <w:proofErr w:type="spellStart"/>
            <w:r w:rsidRPr="00474018">
              <w:rPr>
                <w:rFonts w:ascii="Times New Roman" w:eastAsia="Times New Roman" w:hAnsi="Times New Roman"/>
                <w:b/>
                <w:sz w:val="20"/>
                <w:szCs w:val="20"/>
                <w:lang w:val="lt-LT" w:eastAsia="lt-LT"/>
              </w:rPr>
              <w:t>ais</w:t>
            </w:r>
            <w:proofErr w:type="spellEnd"/>
            <w:r w:rsidRPr="00474018">
              <w:rPr>
                <w:rFonts w:ascii="Times New Roman" w:eastAsia="Times New Roman" w:hAnsi="Times New Roman"/>
                <w:b/>
                <w:sz w:val="20"/>
                <w:szCs w:val="20"/>
                <w:lang w:val="lt-LT" w:eastAsia="lt-LT"/>
              </w:rPr>
              <w:t>) asmeniu (-</w:t>
            </w:r>
            <w:proofErr w:type="spellStart"/>
            <w:r w:rsidRPr="00474018">
              <w:rPr>
                <w:rFonts w:ascii="Times New Roman" w:eastAsia="Times New Roman" w:hAnsi="Times New Roman"/>
                <w:b/>
                <w:sz w:val="20"/>
                <w:szCs w:val="20"/>
                <w:lang w:val="lt-LT" w:eastAsia="lt-LT"/>
              </w:rPr>
              <w:t>imis</w:t>
            </w:r>
            <w:proofErr w:type="spellEnd"/>
            <w:r w:rsidRPr="00474018">
              <w:rPr>
                <w:rFonts w:ascii="Times New Roman" w:eastAsia="Times New Roman" w:hAnsi="Times New Roman"/>
                <w:b/>
                <w:sz w:val="20"/>
                <w:szCs w:val="20"/>
                <w:lang w:val="lt-LT" w:eastAsia="lt-LT"/>
              </w:rPr>
              <w:t>):</w:t>
            </w:r>
          </w:p>
        </w:tc>
      </w:tr>
      <w:tr w:rsidR="00664C7B" w:rsidRPr="00474018" w:rsidTr="00664D08">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Default="00664C7B" w:rsidP="00664C7B">
            <w:pPr>
              <w:spacing w:after="0" w:line="240" w:lineRule="auto"/>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Jei turite bendrą sąskaitą su kitu (-</w:t>
            </w:r>
            <w:proofErr w:type="spellStart"/>
            <w:r w:rsidRPr="00474018">
              <w:rPr>
                <w:rFonts w:ascii="Times New Roman" w:eastAsia="Times New Roman" w:hAnsi="Times New Roman"/>
                <w:sz w:val="20"/>
                <w:szCs w:val="20"/>
                <w:lang w:val="lt-LT" w:eastAsia="lt-LT"/>
              </w:rPr>
              <w:t>ais</w:t>
            </w:r>
            <w:proofErr w:type="spellEnd"/>
            <w:r w:rsidRPr="00474018">
              <w:rPr>
                <w:rFonts w:ascii="Times New Roman" w:eastAsia="Times New Roman" w:hAnsi="Times New Roman"/>
                <w:sz w:val="20"/>
                <w:szCs w:val="20"/>
                <w:lang w:val="lt-LT" w:eastAsia="lt-LT"/>
              </w:rPr>
              <w:t>) asmeniu (-</w:t>
            </w:r>
            <w:proofErr w:type="spellStart"/>
            <w:r w:rsidRPr="00474018">
              <w:rPr>
                <w:rFonts w:ascii="Times New Roman" w:eastAsia="Times New Roman" w:hAnsi="Times New Roman"/>
                <w:sz w:val="20"/>
                <w:szCs w:val="20"/>
                <w:lang w:val="lt-LT" w:eastAsia="lt-LT"/>
              </w:rPr>
              <w:t>imis</w:t>
            </w:r>
            <w:proofErr w:type="spellEnd"/>
            <w:r w:rsidRPr="00474018">
              <w:rPr>
                <w:rFonts w:ascii="Times New Roman" w:eastAsia="Times New Roman" w:hAnsi="Times New Roman"/>
                <w:sz w:val="20"/>
                <w:szCs w:val="20"/>
                <w:lang w:val="lt-LT" w:eastAsia="lt-LT"/>
              </w:rPr>
              <w:t xml:space="preserve">), apskaičiuojant draudimo išmokos dydį, atsižvelgiama į kiekvienam indėlininkui priklausančią bendroje sąskaitoje esančio indėlio dalį. </w:t>
            </w:r>
            <w:r w:rsidRPr="00474018">
              <w:rPr>
                <w:rFonts w:ascii="Times New Roman" w:eastAsia="BatangChe" w:hAnsi="Times New Roman"/>
                <w:sz w:val="20"/>
                <w:szCs w:val="20"/>
                <w:lang w:val="lt-LT" w:eastAsia="lt-LT"/>
              </w:rPr>
              <w:t xml:space="preserve">Tai reiškia, kad siekiant nustatyti draudimo išmokos dydį, </w:t>
            </w:r>
            <w:r w:rsidRPr="00474018">
              <w:rPr>
                <w:rFonts w:ascii="Times New Roman" w:eastAsia="Times New Roman" w:hAnsi="Times New Roman"/>
                <w:sz w:val="20"/>
                <w:szCs w:val="20"/>
                <w:lang w:val="lt-LT" w:eastAsia="lt-LT"/>
              </w:rPr>
              <w:t>bendroje sąskaitoje laikomi pinigai padalinami į kiekvienam indėlininkui priklausančias bendroje sąskaitoje esančio indėlio dalis. Jeigu nėra specialių nuostatų, tokia sąskaita indėlininkams padalijama lygiomis dalimis. Tačiau visi vieno indėlininko indėliai, laikomi toje pačioje kredito įstaigoje, sumuojami ir bendrai sumai taikoma 100 000 eurų riba.</w:t>
            </w:r>
          </w:p>
          <w:p w:rsidR="00664C7B" w:rsidRPr="00474018" w:rsidRDefault="00664C7B" w:rsidP="00664C7B">
            <w:pPr>
              <w:spacing w:after="0" w:line="240" w:lineRule="auto"/>
              <w:jc w:val="both"/>
              <w:rPr>
                <w:rFonts w:ascii="Times New Roman" w:eastAsia="Times New Roman" w:hAnsi="Times New Roman"/>
                <w:sz w:val="20"/>
                <w:szCs w:val="20"/>
                <w:lang w:val="lt-LT" w:eastAsia="lt-LT"/>
              </w:rPr>
            </w:pPr>
          </w:p>
        </w:tc>
      </w:tr>
      <w:tr w:rsidR="00664C7B" w:rsidRPr="00474018" w:rsidTr="000774AE">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474018" w:rsidRDefault="00664C7B" w:rsidP="00664C7B">
            <w:pPr>
              <w:spacing w:after="0" w:line="240" w:lineRule="auto"/>
              <w:jc w:val="center"/>
              <w:rPr>
                <w:rFonts w:ascii="Times New Roman" w:eastAsia="BatangChe" w:hAnsi="Times New Roman"/>
                <w:sz w:val="20"/>
                <w:szCs w:val="20"/>
                <w:lang w:val="lt-LT" w:eastAsia="lt-LT"/>
              </w:rPr>
            </w:pPr>
            <w:r w:rsidRPr="00474018">
              <w:rPr>
                <w:rFonts w:ascii="Times New Roman" w:eastAsia="Times New Roman" w:hAnsi="Times New Roman"/>
                <w:b/>
                <w:sz w:val="20"/>
                <w:szCs w:val="20"/>
                <w:lang w:val="lt-LT" w:eastAsia="lt-LT"/>
              </w:rPr>
              <w:lastRenderedPageBreak/>
              <w:t>Draudimo išmokos mokėjimo terminas:</w:t>
            </w:r>
          </w:p>
        </w:tc>
      </w:tr>
      <w:tr w:rsidR="00664C7B" w:rsidRPr="00474018" w:rsidTr="00150F69">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Pr="00474018" w:rsidRDefault="00664C7B" w:rsidP="00664C7B">
            <w:pPr>
              <w:spacing w:after="0" w:line="240" w:lineRule="auto"/>
              <w:jc w:val="both"/>
              <w:rPr>
                <w:rFonts w:ascii="Times New Roman" w:eastAsia="Times New Roman" w:hAnsi="Times New Roman"/>
                <w:sz w:val="20"/>
                <w:szCs w:val="20"/>
                <w:lang w:val="lt-LT" w:eastAsia="lt-LT"/>
              </w:rPr>
            </w:pPr>
            <w:r w:rsidRPr="00474018">
              <w:rPr>
                <w:rFonts w:ascii="Times New Roman" w:eastAsia="BatangChe" w:hAnsi="Times New Roman"/>
                <w:sz w:val="20"/>
                <w:szCs w:val="20"/>
                <w:lang w:val="lt-LT" w:eastAsia="lt-LT"/>
              </w:rPr>
              <w:t>Valstybės įmonė „Indėlių ir investicijų draudimas“ d</w:t>
            </w:r>
            <w:r w:rsidRPr="00474018">
              <w:rPr>
                <w:rFonts w:ascii="Times New Roman" w:eastAsia="Times New Roman" w:hAnsi="Times New Roman"/>
                <w:sz w:val="20"/>
                <w:szCs w:val="20"/>
                <w:lang w:val="lt-LT" w:eastAsia="lt-LT"/>
              </w:rPr>
              <w:t xml:space="preserve">raudimo išmokas indėlininkams išmoka per 20 darbo dienų nuo draudžiamojo įvykio dienos. </w:t>
            </w:r>
            <w:r w:rsidRPr="00474018">
              <w:rPr>
                <w:rFonts w:ascii="Times New Roman" w:eastAsia="BatangChe" w:hAnsi="Times New Roman"/>
                <w:sz w:val="20"/>
                <w:szCs w:val="20"/>
                <w:lang w:val="lt-LT" w:eastAsia="lt-LT"/>
              </w:rPr>
              <w:t xml:space="preserve">Valstybės įmonės „Indėlių ir investicijų draudimas“ </w:t>
            </w:r>
            <w:r w:rsidRPr="00474018">
              <w:rPr>
                <w:rFonts w:ascii="Times New Roman" w:eastAsia="Times New Roman" w:hAnsi="Times New Roman"/>
                <w:sz w:val="20"/>
                <w:szCs w:val="20"/>
                <w:lang w:val="lt-LT" w:eastAsia="lt-LT"/>
              </w:rPr>
              <w:t>taryba, esant išskirtinėms aplinkybėms, suderinusi su Lietuvos banku, gali pratęsti šį terminą ne ilgiau kaip 10 darbo dienų.</w:t>
            </w:r>
          </w:p>
          <w:p w:rsidR="00664C7B" w:rsidRPr="00474018" w:rsidRDefault="00664C7B" w:rsidP="00474018">
            <w:pPr>
              <w:spacing w:after="0" w:line="240" w:lineRule="auto"/>
              <w:ind w:firstLine="292"/>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 xml:space="preserve">Jeigu per šiuos terminus draudimo išmoka jums nebuvo išmokėta, turėtumėte susisiekti su valstybės įmone „Indėlių ir investicijų draudimas“, nes po 5 metų nuo draudžiamojo įvykio dienos gali būti nebeleidžiama pareikšti reikalavimo dėl draudimo išmokos. Daugiau informacijos galima rasti </w:t>
            </w:r>
            <w:r w:rsidRPr="00474018">
              <w:rPr>
                <w:rFonts w:ascii="Times New Roman" w:eastAsia="BatangChe" w:hAnsi="Times New Roman"/>
                <w:sz w:val="20"/>
                <w:szCs w:val="20"/>
                <w:lang w:val="lt-LT" w:eastAsia="lt-LT"/>
              </w:rPr>
              <w:t xml:space="preserve">valstybės įmonės „Indėlių ir investicijų draudimas“ </w:t>
            </w:r>
            <w:r w:rsidRPr="00474018">
              <w:rPr>
                <w:rFonts w:ascii="Times New Roman" w:eastAsia="Times New Roman" w:hAnsi="Times New Roman"/>
                <w:sz w:val="20"/>
                <w:szCs w:val="20"/>
                <w:lang w:val="lt-LT" w:eastAsia="lt-LT"/>
              </w:rPr>
              <w:t xml:space="preserve">interneto svetainėje </w:t>
            </w:r>
            <w:hyperlink r:id="rId8" w:history="1">
              <w:r w:rsidRPr="00474018">
                <w:rPr>
                  <w:rFonts w:ascii="Times New Roman" w:eastAsia="Times New Roman" w:hAnsi="Times New Roman"/>
                  <w:sz w:val="20"/>
                  <w:szCs w:val="20"/>
                  <w:u w:val="single"/>
                  <w:lang w:val="lt-LT" w:eastAsia="lt-LT"/>
                </w:rPr>
                <w:t>http://iidraudimas.lt</w:t>
              </w:r>
            </w:hyperlink>
            <w:r w:rsidRPr="00474018">
              <w:rPr>
                <w:rFonts w:ascii="Times New Roman" w:eastAsia="Times New Roman" w:hAnsi="Times New Roman"/>
                <w:sz w:val="20"/>
                <w:szCs w:val="20"/>
                <w:lang w:val="lt-LT" w:eastAsia="lt-LT"/>
              </w:rPr>
              <w:t>.</w:t>
            </w:r>
          </w:p>
        </w:tc>
      </w:tr>
      <w:tr w:rsidR="00664C7B" w:rsidRPr="00474018" w:rsidTr="00354BF5">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474018" w:rsidRDefault="00664C7B" w:rsidP="00664C7B">
            <w:pPr>
              <w:tabs>
                <w:tab w:val="left" w:pos="993"/>
              </w:tabs>
              <w:spacing w:after="0" w:line="240" w:lineRule="auto"/>
              <w:jc w:val="center"/>
              <w:rPr>
                <w:rFonts w:ascii="Times New Roman" w:eastAsia="Times New Roman" w:hAnsi="Times New Roman"/>
                <w:sz w:val="20"/>
                <w:szCs w:val="20"/>
                <w:lang w:val="lt-LT" w:eastAsia="lt-LT"/>
              </w:rPr>
            </w:pPr>
            <w:r w:rsidRPr="00474018">
              <w:rPr>
                <w:rFonts w:ascii="Times New Roman" w:eastAsia="Times New Roman" w:hAnsi="Times New Roman"/>
                <w:b/>
                <w:sz w:val="20"/>
                <w:szCs w:val="20"/>
                <w:lang w:val="lt-LT" w:eastAsia="lt-LT"/>
              </w:rPr>
              <w:t>Išmokėjimo valiuta:</w:t>
            </w:r>
          </w:p>
        </w:tc>
      </w:tr>
      <w:tr w:rsidR="00664C7B" w:rsidRPr="00474018" w:rsidTr="00B47FDE">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Pr="00474018" w:rsidRDefault="00664C7B" w:rsidP="00664C7B">
            <w:pPr>
              <w:tabs>
                <w:tab w:val="left" w:pos="993"/>
              </w:tabs>
              <w:spacing w:after="0" w:line="240" w:lineRule="auto"/>
              <w:jc w:val="both"/>
              <w:rPr>
                <w:rFonts w:ascii="Times New Roman" w:eastAsia="Times New Roman" w:hAnsi="Times New Roman"/>
                <w:sz w:val="20"/>
                <w:szCs w:val="20"/>
                <w:lang w:val="lt-LT" w:eastAsia="lt-LT"/>
              </w:rPr>
            </w:pPr>
            <w:r w:rsidRPr="00474018">
              <w:rPr>
                <w:rFonts w:ascii="Times New Roman" w:eastAsia="Times New Roman" w:hAnsi="Times New Roman"/>
                <w:sz w:val="20"/>
                <w:szCs w:val="20"/>
                <w:lang w:val="lt-LT" w:eastAsia="lt-LT"/>
              </w:rPr>
              <w:t xml:space="preserve">Draudimo išmokos indėlininkams išmokamos </w:t>
            </w:r>
            <w:r>
              <w:rPr>
                <w:rFonts w:ascii="Times New Roman" w:eastAsia="Times New Roman" w:hAnsi="Times New Roman"/>
                <w:sz w:val="20"/>
                <w:szCs w:val="20"/>
                <w:lang w:val="lt-LT" w:eastAsia="lt-LT"/>
              </w:rPr>
              <w:t>eurais</w:t>
            </w:r>
            <w:r w:rsidRPr="00474018">
              <w:rPr>
                <w:rFonts w:ascii="Times New Roman" w:eastAsia="Times New Roman" w:hAnsi="Times New Roman"/>
                <w:sz w:val="20"/>
                <w:szCs w:val="20"/>
                <w:lang w:val="lt-LT" w:eastAsia="lt-LT"/>
              </w:rPr>
              <w:t xml:space="preserve"> arba atitinkamos Europos valstybės nacionaline valiuta, kai indėliai laikomi banko ar įmonės filiale, įsteigtame Europos valstybėje. </w:t>
            </w:r>
            <w:r w:rsidRPr="00C87D72">
              <w:rPr>
                <w:rFonts w:ascii="Times New Roman" w:hAnsi="Times New Roman"/>
                <w:sz w:val="20"/>
                <w:szCs w:val="20"/>
                <w:lang w:val="lt-LT"/>
              </w:rPr>
              <w:t xml:space="preserve">Už indėlius užsienio valiuta draudimo išmokos apskaičiuojamos pagal draudžiamojo įvykio dieną </w:t>
            </w:r>
            <w:r w:rsidRPr="00C87D72">
              <w:rPr>
                <w:rFonts w:ascii="Times New Roman" w:hAnsi="Times New Roman"/>
                <w:bCs/>
                <w:sz w:val="20"/>
                <w:szCs w:val="20"/>
                <w:lang w:val="lt-LT"/>
              </w:rPr>
              <w:t xml:space="preserve">Europos centrinio banko paskelbtą orientacinį </w:t>
            </w:r>
            <w:r w:rsidRPr="00C87D72">
              <w:rPr>
                <w:rFonts w:ascii="Times New Roman" w:hAnsi="Times New Roman"/>
                <w:sz w:val="20"/>
                <w:szCs w:val="20"/>
                <w:lang w:val="lt-LT"/>
              </w:rPr>
              <w:t>ir užsienio valiutos santykį</w:t>
            </w:r>
            <w:r w:rsidRPr="00C87D72">
              <w:rPr>
                <w:rFonts w:ascii="Times New Roman" w:hAnsi="Times New Roman"/>
                <w:bCs/>
                <w:sz w:val="20"/>
                <w:szCs w:val="20"/>
                <w:lang w:val="lt-LT"/>
              </w:rPr>
              <w:t>, o kai euro ir atitinkamos užsienio valiutos santykio Europos centrinis bankas neskelbia – pagal Lietuvos banko nustatytą ir paskelbtą orientacinį euro ir užsienio valiutos santykį.</w:t>
            </w:r>
          </w:p>
        </w:tc>
      </w:tr>
      <w:tr w:rsidR="00664C7B" w:rsidRPr="00474018" w:rsidTr="00420C2E">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tcPr>
          <w:p w:rsidR="00664C7B" w:rsidRPr="00474018" w:rsidRDefault="00664C7B" w:rsidP="00664C7B">
            <w:pPr>
              <w:spacing w:after="0" w:line="240" w:lineRule="auto"/>
              <w:jc w:val="center"/>
              <w:rPr>
                <w:rFonts w:ascii="Times New Roman" w:eastAsia="BatangChe" w:hAnsi="Times New Roman"/>
                <w:sz w:val="20"/>
                <w:szCs w:val="20"/>
                <w:lang w:val="lt-LT" w:eastAsia="lt-LT"/>
              </w:rPr>
            </w:pPr>
            <w:r w:rsidRPr="00474018">
              <w:rPr>
                <w:rFonts w:ascii="Times New Roman" w:eastAsia="Times New Roman" w:hAnsi="Times New Roman"/>
                <w:b/>
                <w:sz w:val="20"/>
                <w:szCs w:val="20"/>
                <w:lang w:val="lt-LT" w:eastAsia="lt-LT"/>
              </w:rPr>
              <w:t>Kontaktiniai duomenys</w:t>
            </w:r>
            <w:r w:rsidRPr="00474018">
              <w:rPr>
                <w:rFonts w:ascii="Times New Roman" w:eastAsia="Times New Roman" w:hAnsi="Times New Roman"/>
                <w:sz w:val="20"/>
                <w:szCs w:val="20"/>
                <w:lang w:val="lt-LT" w:eastAsia="lt-LT"/>
              </w:rPr>
              <w:t>:</w:t>
            </w:r>
          </w:p>
        </w:tc>
      </w:tr>
      <w:tr w:rsidR="00664C7B" w:rsidRPr="00474018" w:rsidTr="00B43E54">
        <w:trPr>
          <w:trHeight w:val="20"/>
          <w:tblCellSpacing w:w="0" w:type="dxa"/>
        </w:trPr>
        <w:tc>
          <w:tcPr>
            <w:tcW w:w="10763" w:type="dxa"/>
            <w:tcBorders>
              <w:top w:val="single" w:sz="8" w:space="0" w:color="auto"/>
              <w:left w:val="single" w:sz="8" w:space="0" w:color="auto"/>
              <w:bottom w:val="single" w:sz="8" w:space="0" w:color="auto"/>
              <w:right w:val="single" w:sz="8" w:space="0" w:color="auto"/>
            </w:tcBorders>
            <w:hideMark/>
          </w:tcPr>
          <w:p w:rsidR="00664C7B" w:rsidRPr="00474018" w:rsidRDefault="00664C7B" w:rsidP="00664C7B">
            <w:pPr>
              <w:spacing w:after="0" w:line="240" w:lineRule="auto"/>
              <w:jc w:val="both"/>
              <w:rPr>
                <w:rFonts w:ascii="Times New Roman" w:eastAsia="Times New Roman" w:hAnsi="Times New Roman"/>
                <w:sz w:val="20"/>
                <w:szCs w:val="20"/>
                <w:lang w:val="lt-LT" w:eastAsia="lt-LT"/>
              </w:rPr>
            </w:pPr>
            <w:r w:rsidRPr="00474018">
              <w:rPr>
                <w:rFonts w:ascii="Times New Roman" w:eastAsia="BatangChe" w:hAnsi="Times New Roman"/>
                <w:sz w:val="20"/>
                <w:szCs w:val="20"/>
                <w:lang w:val="lt-LT" w:eastAsia="lt-LT"/>
              </w:rPr>
              <w:t xml:space="preserve">Daugiau informacijos apie valstybės įmonę „Indėlių ir investicijų draudimas“ ir draudimo sąlygas gausite valstybės įmonėje „Indėlių ir investicijų draudimas“ (Algirdo g. 31, Vilnius, tel. 8 5 2135657, faks. 8 5 2135546, </w:t>
            </w:r>
            <w:proofErr w:type="spellStart"/>
            <w:r w:rsidRPr="00474018">
              <w:rPr>
                <w:rFonts w:ascii="Times New Roman" w:eastAsia="BatangChe" w:hAnsi="Times New Roman"/>
                <w:sz w:val="20"/>
                <w:szCs w:val="20"/>
                <w:lang w:val="lt-LT" w:eastAsia="lt-LT"/>
              </w:rPr>
              <w:t>el.p</w:t>
            </w:r>
            <w:proofErr w:type="spellEnd"/>
            <w:r w:rsidRPr="00474018">
              <w:rPr>
                <w:rFonts w:ascii="Times New Roman" w:eastAsia="BatangChe" w:hAnsi="Times New Roman"/>
                <w:sz w:val="20"/>
                <w:szCs w:val="20"/>
                <w:lang w:val="lt-LT" w:eastAsia="lt-LT"/>
              </w:rPr>
              <w:t xml:space="preserve">. </w:t>
            </w:r>
            <w:proofErr w:type="spellStart"/>
            <w:r w:rsidRPr="00474018">
              <w:rPr>
                <w:rFonts w:ascii="Times New Roman" w:eastAsia="BatangChe" w:hAnsi="Times New Roman"/>
                <w:sz w:val="20"/>
                <w:szCs w:val="20"/>
                <w:lang w:val="lt-LT" w:eastAsia="lt-LT"/>
              </w:rPr>
              <w:t>idf@idf.lt</w:t>
            </w:r>
            <w:proofErr w:type="spellEnd"/>
            <w:r w:rsidRPr="00474018">
              <w:rPr>
                <w:rFonts w:ascii="Times New Roman" w:eastAsia="BatangChe" w:hAnsi="Times New Roman"/>
                <w:sz w:val="20"/>
                <w:szCs w:val="20"/>
                <w:lang w:val="lt-LT" w:eastAsia="lt-LT"/>
              </w:rPr>
              <w:t xml:space="preserve">, interneto svetainė: </w:t>
            </w:r>
            <w:hyperlink r:id="rId9" w:history="1">
              <w:r w:rsidRPr="00474018">
                <w:rPr>
                  <w:rFonts w:ascii="Times New Roman" w:eastAsia="BatangChe" w:hAnsi="Times New Roman"/>
                  <w:sz w:val="20"/>
                  <w:szCs w:val="20"/>
                  <w:u w:val="single"/>
                  <w:lang w:val="lt-LT" w:eastAsia="lt-LT"/>
                </w:rPr>
                <w:t>http://iidraudimas.lt</w:t>
              </w:r>
            </w:hyperlink>
            <w:r w:rsidRPr="00474018">
              <w:rPr>
                <w:rFonts w:ascii="Times New Roman" w:eastAsia="BatangChe" w:hAnsi="Times New Roman"/>
                <w:sz w:val="20"/>
                <w:szCs w:val="20"/>
                <w:lang w:val="lt-LT" w:eastAsia="lt-LT"/>
              </w:rPr>
              <w:t xml:space="preserve">). </w:t>
            </w:r>
          </w:p>
        </w:tc>
      </w:tr>
    </w:tbl>
    <w:p w:rsidR="00474018" w:rsidRPr="00474018" w:rsidRDefault="00474018" w:rsidP="00474018">
      <w:pPr>
        <w:tabs>
          <w:tab w:val="left" w:pos="993"/>
        </w:tabs>
        <w:spacing w:after="0" w:line="240" w:lineRule="auto"/>
        <w:jc w:val="center"/>
        <w:rPr>
          <w:rFonts w:ascii="Times New Roman" w:eastAsia="BatangChe" w:hAnsi="Times New Roman"/>
          <w:sz w:val="20"/>
          <w:szCs w:val="20"/>
          <w:lang w:val="lt-LT" w:eastAsia="lt-LT"/>
        </w:rPr>
      </w:pPr>
      <w:r w:rsidRPr="00474018">
        <w:rPr>
          <w:rFonts w:ascii="Times New Roman" w:eastAsia="BatangChe" w:hAnsi="Times New Roman"/>
          <w:sz w:val="20"/>
          <w:szCs w:val="20"/>
          <w:lang w:val="lt-LT" w:eastAsia="lt-LT"/>
        </w:rPr>
        <w:t>________________________</w:t>
      </w:r>
    </w:p>
    <w:p w:rsidR="00474018" w:rsidRPr="00474018" w:rsidRDefault="00474018" w:rsidP="00474018">
      <w:pPr>
        <w:spacing w:after="0" w:line="240" w:lineRule="auto"/>
        <w:rPr>
          <w:rFonts w:ascii="Times New Roman" w:eastAsia="BatangChe" w:hAnsi="Times New Roman"/>
          <w:sz w:val="20"/>
          <w:szCs w:val="20"/>
          <w:lang w:val="lt-LT" w:eastAsia="lt-LT"/>
        </w:rPr>
      </w:pPr>
      <w:bookmarkStart w:id="0" w:name="_GoBack"/>
      <w:bookmarkEnd w:id="0"/>
    </w:p>
    <w:sectPr w:rsidR="00474018" w:rsidRPr="00474018" w:rsidSect="00AA494D">
      <w:headerReference w:type="default" r:id="rId10"/>
      <w:headerReference w:type="first" r:id="rId11"/>
      <w:pgSz w:w="11906" w:h="16838"/>
      <w:pgMar w:top="634" w:right="566" w:bottom="567" w:left="709" w:header="284" w:footer="864"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83" w:rsidRDefault="00474E83">
      <w:pPr>
        <w:spacing w:after="0" w:line="240" w:lineRule="auto"/>
      </w:pPr>
      <w:r>
        <w:separator/>
      </w:r>
    </w:p>
  </w:endnote>
  <w:endnote w:type="continuationSeparator" w:id="0">
    <w:p w:rsidR="00474E83" w:rsidRDefault="00474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83" w:rsidRDefault="00474E83">
      <w:pPr>
        <w:spacing w:after="0" w:line="240" w:lineRule="auto"/>
      </w:pPr>
      <w:r>
        <w:separator/>
      </w:r>
    </w:p>
  </w:footnote>
  <w:footnote w:type="continuationSeparator" w:id="0">
    <w:p w:rsidR="00474E83" w:rsidRDefault="00474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868059816"/>
      <w:docPartObj>
        <w:docPartGallery w:val="Page Numbers (Top of Page)"/>
        <w:docPartUnique/>
      </w:docPartObj>
    </w:sdtPr>
    <w:sdtContent>
      <w:p w:rsidR="0098633D" w:rsidRPr="007D4CC6" w:rsidRDefault="00901ED4">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00DD541A"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sidR="00752952">
          <w:rPr>
            <w:rFonts w:ascii="Times New Roman" w:hAnsi="Times New Roman" w:cs="Times New Roman"/>
            <w:noProof/>
            <w:sz w:val="16"/>
            <w:szCs w:val="16"/>
          </w:rPr>
          <w:t>2</w:t>
        </w:r>
        <w:r w:rsidRPr="007D4CC6">
          <w:rPr>
            <w:rFonts w:ascii="Times New Roman" w:hAnsi="Times New Roman" w:cs="Times New Roman"/>
            <w:sz w:val="16"/>
            <w:szCs w:val="16"/>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2" w:rsidRDefault="00752952">
    <w:pPr>
      <w:pStyle w:val="Header"/>
    </w:pPr>
    <w:r>
      <w:rPr>
        <w:noProof/>
        <w:lang w:val="lt-LT" w:eastAsia="lt-LT"/>
      </w:rPr>
      <w:drawing>
        <wp:inline distT="0" distB="0" distL="0" distR="0">
          <wp:extent cx="344424" cy="256032"/>
          <wp:effectExtent l="19050" t="0" r="0" b="0"/>
          <wp:docPr id="1" name="Picture 0" descr="KKU_logotipas_be suki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U_logotipas_be sukio_small.jpg"/>
                  <pic:cNvPicPr/>
                </pic:nvPicPr>
                <pic:blipFill>
                  <a:blip r:embed="rId1"/>
                  <a:stretch>
                    <a:fillRect/>
                  </a:stretch>
                </pic:blipFill>
                <pic:spPr>
                  <a:xfrm>
                    <a:off x="0" y="0"/>
                    <a:ext cx="344424" cy="2560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621F5E"/>
    <w:lvl w:ilvl="0">
      <w:start w:val="1"/>
      <w:numFmt w:val="decimal"/>
      <w:lvlText w:val="%1."/>
      <w:lvlJc w:val="left"/>
      <w:pPr>
        <w:tabs>
          <w:tab w:val="num" w:pos="1492"/>
        </w:tabs>
        <w:ind w:left="1492" w:hanging="360"/>
      </w:pPr>
    </w:lvl>
  </w:abstractNum>
  <w:abstractNum w:abstractNumId="1">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8781404"/>
    <w:multiLevelType w:val="singleLevel"/>
    <w:tmpl w:val="2E26C7A4"/>
    <w:lvl w:ilvl="0">
      <w:start w:val="1"/>
      <w:numFmt w:val="decimal"/>
      <w:lvlText w:val="%1. "/>
      <w:legacy w:legacy="1" w:legacySpace="0" w:legacyIndent="283"/>
      <w:lvlJc w:val="left"/>
      <w:pPr>
        <w:ind w:left="283" w:hanging="283"/>
      </w:pPr>
      <w:rPr>
        <w:rFonts w:cs="Times New Roman"/>
        <w:b/>
        <w:i w:val="0"/>
        <w:sz w:val="22"/>
        <w:szCs w:val="22"/>
      </w:rPr>
    </w:lvl>
  </w:abstractNum>
  <w:abstractNum w:abstractNumId="3">
    <w:nsid w:val="20FE60CA"/>
    <w:multiLevelType w:val="singleLevel"/>
    <w:tmpl w:val="3F0E64F0"/>
    <w:lvl w:ilvl="0">
      <w:start w:val="3"/>
      <w:numFmt w:val="decimal"/>
      <w:lvlText w:val="%1. "/>
      <w:legacy w:legacy="1" w:legacySpace="0" w:legacyIndent="283"/>
      <w:lvlJc w:val="left"/>
      <w:pPr>
        <w:ind w:left="283" w:hanging="283"/>
      </w:pPr>
      <w:rPr>
        <w:rFonts w:cs="Times New Roman"/>
        <w:b/>
        <w:i w:val="0"/>
        <w:sz w:val="22"/>
        <w:szCs w:val="22"/>
      </w:rPr>
    </w:lvl>
  </w:abstractNum>
  <w:abstractNum w:abstractNumId="4">
    <w:nsid w:val="3F0E4174"/>
    <w:multiLevelType w:val="singleLevel"/>
    <w:tmpl w:val="BE24F1B8"/>
    <w:lvl w:ilvl="0">
      <w:start w:val="2"/>
      <w:numFmt w:val="decimal"/>
      <w:lvlText w:val="%1. "/>
      <w:legacy w:legacy="1" w:legacySpace="0" w:legacyIndent="283"/>
      <w:lvlJc w:val="left"/>
      <w:pPr>
        <w:ind w:left="283" w:hanging="283"/>
      </w:pPr>
      <w:rPr>
        <w:rFonts w:cs="Times New Roman"/>
        <w:b/>
        <w:i w:val="0"/>
        <w:sz w:val="22"/>
        <w:szCs w:val="22"/>
      </w:rPr>
    </w:lvl>
  </w:abstractNum>
  <w:abstractNum w:abstractNumId="5">
    <w:nsid w:val="3F667D18"/>
    <w:multiLevelType w:val="single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abstractNum>
  <w:abstractNum w:abstractNumId="6">
    <w:nsid w:val="46BA0A69"/>
    <w:multiLevelType w:val="multilevel"/>
    <w:tmpl w:val="26560ABC"/>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142"/>
        </w:tabs>
        <w:ind w:left="14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none"/>
      <w:lvlText w:val="xxx"/>
      <w:lvlJc w:val="left"/>
      <w:pPr>
        <w:tabs>
          <w:tab w:val="num" w:pos="0"/>
        </w:tabs>
        <w:ind w:left="3384" w:hanging="1224"/>
      </w:pPr>
      <w:rPr>
        <w:rFonts w:cs="Times New Roman" w:hint="default"/>
      </w:rPr>
    </w:lvl>
    <w:lvl w:ilvl="8">
      <w:start w:val="1"/>
      <w:numFmt w:val="none"/>
      <w:lvlText w:val="xxx"/>
      <w:lvlJc w:val="left"/>
      <w:pPr>
        <w:tabs>
          <w:tab w:val="num" w:pos="0"/>
        </w:tabs>
        <w:ind w:left="4824" w:hanging="1440"/>
      </w:pPr>
      <w:rPr>
        <w:rFonts w:cs="Times New Roman" w:hint="default"/>
      </w:rPr>
    </w:lvl>
  </w:abstractNum>
  <w:abstractNum w:abstractNumId="7">
    <w:nsid w:val="51A57130"/>
    <w:multiLevelType w:val="multilevel"/>
    <w:tmpl w:val="3DB24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9647CA"/>
    <w:multiLevelType w:val="singleLevel"/>
    <w:tmpl w:val="35A2EF00"/>
    <w:lvl w:ilvl="0">
      <w:start w:val="1"/>
      <w:numFmt w:val="decimal"/>
      <w:lvlText w:val="2.%1. "/>
      <w:legacy w:legacy="1" w:legacySpace="0" w:legacyIndent="283"/>
      <w:lvlJc w:val="left"/>
      <w:pPr>
        <w:ind w:left="425" w:hanging="283"/>
      </w:pPr>
      <w:rPr>
        <w:rFonts w:cs="Times New Roman"/>
        <w:b w:val="0"/>
        <w:i w:val="0"/>
        <w:sz w:val="22"/>
        <w:szCs w:val="22"/>
      </w:rPr>
    </w:lvl>
  </w:abstractNum>
  <w:abstractNum w:abstractNumId="9">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A6E0147"/>
    <w:multiLevelType w:val="multilevel"/>
    <w:tmpl w:val="370C171A"/>
    <w:lvl w:ilvl="0">
      <w:start w:val="6"/>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rPr>
    </w:lvl>
    <w:lvl w:ilvl="2">
      <w:start w:val="1"/>
      <w:numFmt w:val="decimal"/>
      <w:lvlText w:val="%1.%2.%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none"/>
      <w:lvlText w:val="xxx"/>
      <w:legacy w:legacy="1" w:legacySpace="120" w:legacyIndent="1224"/>
      <w:lvlJc w:val="left"/>
      <w:pPr>
        <w:ind w:left="3875" w:hanging="1224"/>
      </w:pPr>
      <w:rPr>
        <w:rFonts w:cs="Times New Roman"/>
      </w:rPr>
    </w:lvl>
    <w:lvl w:ilvl="8">
      <w:start w:val="1"/>
      <w:numFmt w:val="none"/>
      <w:lvlText w:val="xxx"/>
      <w:legacy w:legacy="1" w:legacySpace="120" w:legacyIndent="1440"/>
      <w:lvlJc w:val="left"/>
      <w:pPr>
        <w:ind w:left="5315" w:hanging="1440"/>
      </w:pPr>
      <w:rPr>
        <w:rFonts w:cs="Times New Roman"/>
      </w:rPr>
    </w:lvl>
  </w:abstractNum>
  <w:abstractNum w:abstractNumId="11">
    <w:nsid w:val="642B0710"/>
    <w:multiLevelType w:val="singleLevel"/>
    <w:tmpl w:val="13B424BC"/>
    <w:lvl w:ilvl="0">
      <w:start w:val="4"/>
      <w:numFmt w:val="decimal"/>
      <w:lvlText w:val="%1. "/>
      <w:legacy w:legacy="1" w:legacySpace="0" w:legacyIndent="283"/>
      <w:lvlJc w:val="left"/>
      <w:pPr>
        <w:ind w:left="283" w:hanging="283"/>
      </w:pPr>
      <w:rPr>
        <w:rFonts w:cs="Times New Roman"/>
        <w:b/>
        <w:i w:val="0"/>
        <w:sz w:val="22"/>
        <w:szCs w:val="22"/>
      </w:rPr>
    </w:lvl>
  </w:abstractNum>
  <w:abstractNum w:abstractNumId="12">
    <w:nsid w:val="64A71F49"/>
    <w:multiLevelType w:val="singleLevel"/>
    <w:tmpl w:val="99DAE7AA"/>
    <w:lvl w:ilvl="0">
      <w:start w:val="1"/>
      <w:numFmt w:val="decimal"/>
      <w:lvlText w:val="3.%1. "/>
      <w:legacy w:legacy="1" w:legacySpace="0" w:legacyIndent="283"/>
      <w:lvlJc w:val="left"/>
      <w:pPr>
        <w:ind w:left="283" w:hanging="283"/>
      </w:pPr>
      <w:rPr>
        <w:rFonts w:cs="Times New Roman"/>
        <w:b w:val="0"/>
        <w:i w:val="0"/>
        <w:sz w:val="22"/>
        <w:szCs w:val="22"/>
      </w:rPr>
    </w:lvl>
  </w:abstractNum>
  <w:abstractNum w:abstractNumId="13">
    <w:nsid w:val="6561092C"/>
    <w:multiLevelType w:val="singleLevel"/>
    <w:tmpl w:val="8CAE782E"/>
    <w:lvl w:ilvl="0">
      <w:start w:val="1"/>
      <w:numFmt w:val="decimal"/>
      <w:lvlText w:val="1.%1. "/>
      <w:legacy w:legacy="1" w:legacySpace="0" w:legacyIndent="283"/>
      <w:lvlJc w:val="left"/>
      <w:pPr>
        <w:ind w:left="283" w:hanging="283"/>
      </w:pPr>
      <w:rPr>
        <w:rFonts w:cs="Times New Roman"/>
        <w:b w:val="0"/>
        <w:i w:val="0"/>
        <w:sz w:val="22"/>
        <w:szCs w:val="22"/>
      </w:rPr>
    </w:lvl>
  </w:abstractNum>
  <w:abstractNum w:abstractNumId="14">
    <w:nsid w:val="6BCE184A"/>
    <w:multiLevelType w:val="hybridMultilevel"/>
    <w:tmpl w:val="FE6AE6BE"/>
    <w:lvl w:ilvl="0" w:tplc="B596E946">
      <w:start w:val="1"/>
      <w:numFmt w:val="lowerLetter"/>
      <w:lvlText w:val="%1)"/>
      <w:lvlJc w:val="left"/>
      <w:pPr>
        <w:ind w:left="928" w:hanging="360"/>
      </w:pPr>
      <w:rPr>
        <w:rFonts w:hint="default"/>
        <w:b w:val="0"/>
        <w:caps w:val="0"/>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5">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2"/>
  </w:num>
  <w:num w:numId="2">
    <w:abstractNumId w:val="13"/>
  </w:num>
  <w:num w:numId="3">
    <w:abstractNumId w:val="4"/>
  </w:num>
  <w:num w:numId="4">
    <w:abstractNumId w:val="8"/>
  </w:num>
  <w:num w:numId="5">
    <w:abstractNumId w:val="3"/>
  </w:num>
  <w:num w:numId="6">
    <w:abstractNumId w:val="12"/>
  </w:num>
  <w:num w:numId="7">
    <w:abstractNumId w:val="11"/>
  </w:num>
  <w:num w:numId="8">
    <w:abstractNumId w:val="5"/>
  </w:num>
  <w:num w:numId="9">
    <w:abstractNumId w:val="6"/>
  </w:num>
  <w:num w:numId="10">
    <w:abstractNumId w:val="10"/>
  </w:num>
  <w:num w:numId="11">
    <w:abstractNumId w:val="0"/>
  </w:num>
  <w:num w:numId="12">
    <w:abstractNumId w:val="1"/>
  </w:num>
  <w:num w:numId="13">
    <w:abstractNumId w:val="7"/>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3074"/>
  </w:hdrShapeDefaults>
  <w:footnotePr>
    <w:footnote w:id="-1"/>
    <w:footnote w:id="0"/>
  </w:footnotePr>
  <w:endnotePr>
    <w:endnote w:id="-1"/>
    <w:endnote w:id="0"/>
  </w:endnotePr>
  <w:compat/>
  <w:rsids>
    <w:rsidRoot w:val="00853EFE"/>
    <w:rsid w:val="00012627"/>
    <w:rsid w:val="00020F27"/>
    <w:rsid w:val="00063E9C"/>
    <w:rsid w:val="00075BB1"/>
    <w:rsid w:val="00093F36"/>
    <w:rsid w:val="000C1156"/>
    <w:rsid w:val="000C50A1"/>
    <w:rsid w:val="000F674F"/>
    <w:rsid w:val="00131F80"/>
    <w:rsid w:val="001549FF"/>
    <w:rsid w:val="00164DCD"/>
    <w:rsid w:val="001655DA"/>
    <w:rsid w:val="001979B9"/>
    <w:rsid w:val="001C0351"/>
    <w:rsid w:val="001C7DE8"/>
    <w:rsid w:val="001D3BC7"/>
    <w:rsid w:val="001F77A6"/>
    <w:rsid w:val="00207902"/>
    <w:rsid w:val="00210A0A"/>
    <w:rsid w:val="00217696"/>
    <w:rsid w:val="00320F98"/>
    <w:rsid w:val="00326B53"/>
    <w:rsid w:val="0035111B"/>
    <w:rsid w:val="00351B8E"/>
    <w:rsid w:val="00351C7F"/>
    <w:rsid w:val="00356832"/>
    <w:rsid w:val="0039227B"/>
    <w:rsid w:val="003E566A"/>
    <w:rsid w:val="0040584C"/>
    <w:rsid w:val="00436828"/>
    <w:rsid w:val="00474018"/>
    <w:rsid w:val="00474E83"/>
    <w:rsid w:val="004B697D"/>
    <w:rsid w:val="004C6B64"/>
    <w:rsid w:val="004F6FC6"/>
    <w:rsid w:val="00501E1C"/>
    <w:rsid w:val="00535547"/>
    <w:rsid w:val="00563CCC"/>
    <w:rsid w:val="0057276C"/>
    <w:rsid w:val="005A7C21"/>
    <w:rsid w:val="005C6DBD"/>
    <w:rsid w:val="0060164D"/>
    <w:rsid w:val="00604116"/>
    <w:rsid w:val="00644A13"/>
    <w:rsid w:val="006611E6"/>
    <w:rsid w:val="00664C7B"/>
    <w:rsid w:val="00674AC5"/>
    <w:rsid w:val="00695C1C"/>
    <w:rsid w:val="006B596E"/>
    <w:rsid w:val="006B65C1"/>
    <w:rsid w:val="006D4030"/>
    <w:rsid w:val="00730BA0"/>
    <w:rsid w:val="00732465"/>
    <w:rsid w:val="0075030C"/>
    <w:rsid w:val="00752952"/>
    <w:rsid w:val="007949EC"/>
    <w:rsid w:val="007A6D4E"/>
    <w:rsid w:val="007D1B45"/>
    <w:rsid w:val="007E2760"/>
    <w:rsid w:val="007F1CB1"/>
    <w:rsid w:val="00823F64"/>
    <w:rsid w:val="00825122"/>
    <w:rsid w:val="00827E7E"/>
    <w:rsid w:val="00836CD0"/>
    <w:rsid w:val="00841064"/>
    <w:rsid w:val="00846A0F"/>
    <w:rsid w:val="00853EFE"/>
    <w:rsid w:val="008B7283"/>
    <w:rsid w:val="008D6A7C"/>
    <w:rsid w:val="00901ED4"/>
    <w:rsid w:val="00917A5E"/>
    <w:rsid w:val="0093455D"/>
    <w:rsid w:val="009455B1"/>
    <w:rsid w:val="00945872"/>
    <w:rsid w:val="009640BA"/>
    <w:rsid w:val="00975B7D"/>
    <w:rsid w:val="009B3BDF"/>
    <w:rsid w:val="009C5765"/>
    <w:rsid w:val="009F3235"/>
    <w:rsid w:val="00A07BCA"/>
    <w:rsid w:val="00A749BF"/>
    <w:rsid w:val="00AF1592"/>
    <w:rsid w:val="00B1718F"/>
    <w:rsid w:val="00B431F5"/>
    <w:rsid w:val="00B95E60"/>
    <w:rsid w:val="00BE2526"/>
    <w:rsid w:val="00C26847"/>
    <w:rsid w:val="00C5070F"/>
    <w:rsid w:val="00C87D72"/>
    <w:rsid w:val="00C97060"/>
    <w:rsid w:val="00CA61C4"/>
    <w:rsid w:val="00CB4BBD"/>
    <w:rsid w:val="00CC3F94"/>
    <w:rsid w:val="00D546CD"/>
    <w:rsid w:val="00D74ADA"/>
    <w:rsid w:val="00D902D5"/>
    <w:rsid w:val="00DD541A"/>
    <w:rsid w:val="00DD5AC1"/>
    <w:rsid w:val="00DE6A8E"/>
    <w:rsid w:val="00DE70E0"/>
    <w:rsid w:val="00DF786D"/>
    <w:rsid w:val="00E35079"/>
    <w:rsid w:val="00E50F0B"/>
    <w:rsid w:val="00E91B40"/>
    <w:rsid w:val="00EB0FDD"/>
    <w:rsid w:val="00EB7057"/>
    <w:rsid w:val="00EE0145"/>
    <w:rsid w:val="00EF5922"/>
    <w:rsid w:val="00F218EC"/>
    <w:rsid w:val="00F303B0"/>
    <w:rsid w:val="00F60180"/>
    <w:rsid w:val="00F61752"/>
    <w:rsid w:val="00FA3AA4"/>
    <w:rsid w:val="00FE755F"/>
    <w:rsid w:val="00FF269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28"/>
    <w:rPr>
      <w:rFonts w:ascii="Calibri" w:eastAsia="Calibri" w:hAnsi="Calibri" w:cs="Times New Roman"/>
    </w:rPr>
  </w:style>
  <w:style w:type="paragraph" w:styleId="Heading1">
    <w:name w:val="heading 1"/>
    <w:basedOn w:val="Normal"/>
    <w:next w:val="Normal"/>
    <w:link w:val="Heading1Char"/>
    <w:qFormat/>
    <w:rsid w:val="00853EFE"/>
    <w:pPr>
      <w:keepNext/>
      <w:spacing w:after="0" w:line="312" w:lineRule="auto"/>
      <w:outlineLvl w:val="0"/>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EFE"/>
    <w:rPr>
      <w:rFonts w:ascii="Times New Roman" w:eastAsia="Times New Roman" w:hAnsi="Times New Roman" w:cs="Times New Roman"/>
      <w:b/>
      <w:bCs/>
      <w:sz w:val="24"/>
      <w:szCs w:val="24"/>
      <w:lang w:val="en-GB"/>
    </w:rPr>
  </w:style>
  <w:style w:type="character" w:styleId="CommentReference">
    <w:name w:val="annotation reference"/>
    <w:uiPriority w:val="99"/>
    <w:semiHidden/>
    <w:rsid w:val="00853EFE"/>
    <w:rPr>
      <w:sz w:val="16"/>
    </w:rPr>
  </w:style>
  <w:style w:type="paragraph" w:styleId="CommentText">
    <w:name w:val="annotation text"/>
    <w:basedOn w:val="Normal"/>
    <w:link w:val="CommentTextChar"/>
    <w:uiPriority w:val="99"/>
    <w:semiHidden/>
    <w:rsid w:val="00853EFE"/>
    <w:pPr>
      <w:spacing w:after="0" w:line="240" w:lineRule="auto"/>
    </w:pPr>
    <w:rPr>
      <w:rFonts w:ascii="Times New Roman" w:eastAsia="Times New Roman" w:hAnsi="Times New Roman"/>
      <w:sz w:val="20"/>
      <w:szCs w:val="20"/>
      <w:lang w:val="lt-LT"/>
    </w:rPr>
  </w:style>
  <w:style w:type="character" w:customStyle="1" w:styleId="CommentTextChar">
    <w:name w:val="Comment Text Char"/>
    <w:basedOn w:val="DefaultParagraphFont"/>
    <w:link w:val="CommentText"/>
    <w:uiPriority w:val="99"/>
    <w:semiHidden/>
    <w:rsid w:val="00853EFE"/>
    <w:rPr>
      <w:rFonts w:ascii="Times New Roman" w:eastAsia="Times New Roman" w:hAnsi="Times New Roman" w:cs="Times New Roman"/>
      <w:sz w:val="20"/>
      <w:szCs w:val="20"/>
      <w:lang w:val="lt-LT"/>
    </w:rPr>
  </w:style>
  <w:style w:type="paragraph" w:styleId="BalloonText">
    <w:name w:val="Balloon Text"/>
    <w:basedOn w:val="Normal"/>
    <w:link w:val="BalloonTextChar"/>
    <w:uiPriority w:val="99"/>
    <w:semiHidden/>
    <w:unhideWhenUsed/>
    <w:rsid w:val="00853EFE"/>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853EFE"/>
    <w:rPr>
      <w:rFonts w:ascii="Tahoma" w:eastAsia="Calibri" w:hAnsi="Tahoma" w:cs="Times New Roman"/>
      <w:sz w:val="16"/>
      <w:szCs w:val="16"/>
      <w:lang/>
    </w:rPr>
  </w:style>
  <w:style w:type="paragraph" w:styleId="ListParagraph">
    <w:name w:val="List Paragraph"/>
    <w:basedOn w:val="Normal"/>
    <w:uiPriority w:val="34"/>
    <w:qFormat/>
    <w:rsid w:val="00853EFE"/>
    <w:pPr>
      <w:ind w:left="720"/>
      <w:contextualSpacing/>
    </w:pPr>
  </w:style>
  <w:style w:type="paragraph" w:styleId="CommentSubject">
    <w:name w:val="annotation subject"/>
    <w:basedOn w:val="CommentText"/>
    <w:next w:val="CommentText"/>
    <w:link w:val="CommentSubjectChar"/>
    <w:uiPriority w:val="99"/>
    <w:semiHidden/>
    <w:unhideWhenUsed/>
    <w:rsid w:val="00853EFE"/>
    <w:pPr>
      <w:spacing w:after="200"/>
    </w:pPr>
    <w:rPr>
      <w:b/>
      <w:bCs/>
    </w:rPr>
  </w:style>
  <w:style w:type="character" w:customStyle="1" w:styleId="CommentSubjectChar">
    <w:name w:val="Comment Subject Char"/>
    <w:basedOn w:val="CommentTextChar"/>
    <w:link w:val="CommentSubject"/>
    <w:uiPriority w:val="99"/>
    <w:semiHidden/>
    <w:rsid w:val="00853EFE"/>
    <w:rPr>
      <w:rFonts w:ascii="Times New Roman" w:eastAsia="Times New Roman" w:hAnsi="Times New Roman" w:cs="Times New Roman"/>
      <w:b/>
      <w:bCs/>
      <w:sz w:val="20"/>
      <w:szCs w:val="20"/>
      <w:lang w:val="lt-LT"/>
    </w:rPr>
  </w:style>
  <w:style w:type="character" w:customStyle="1" w:styleId="statymonr">
    <w:name w:val="statymonr"/>
    <w:basedOn w:val="DefaultParagraphFont"/>
    <w:rsid w:val="00853EFE"/>
  </w:style>
  <w:style w:type="paragraph" w:styleId="Revision">
    <w:name w:val="Revision"/>
    <w:hidden/>
    <w:uiPriority w:val="99"/>
    <w:semiHidden/>
    <w:rsid w:val="00853EFE"/>
    <w:pPr>
      <w:spacing w:after="0" w:line="240" w:lineRule="auto"/>
    </w:pPr>
    <w:rPr>
      <w:rFonts w:ascii="Calibri" w:eastAsia="Calibri" w:hAnsi="Calibri" w:cs="Times New Roman"/>
    </w:rPr>
  </w:style>
  <w:style w:type="table" w:styleId="TableGrid">
    <w:name w:val="Table Grid"/>
    <w:basedOn w:val="TableNormal"/>
    <w:uiPriority w:val="59"/>
    <w:rsid w:val="00853E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BodyTextIndentChar">
    <w:name w:val="Body Text Indent Char"/>
    <w:basedOn w:val="DefaultParagraphFont"/>
    <w:link w:val="BodyTextIndent"/>
    <w:rsid w:val="00853EFE"/>
    <w:rPr>
      <w:rFonts w:ascii="Times New Roman" w:eastAsia="Times New Roman" w:hAnsi="Times New Roman" w:cs="Times New Roman"/>
      <w:b/>
      <w:bCs/>
      <w:sz w:val="24"/>
      <w:szCs w:val="24"/>
      <w:lang w:val="lt-LT"/>
    </w:rPr>
  </w:style>
  <w:style w:type="paragraph" w:styleId="Footer">
    <w:name w:val="footer"/>
    <w:basedOn w:val="Normal"/>
    <w:link w:val="FooterChar"/>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853EFE"/>
    <w:rPr>
      <w:rFonts w:ascii="Times New Roman" w:eastAsia="Times New Roman" w:hAnsi="Times New Roman" w:cs="Times New Roman"/>
      <w:sz w:val="24"/>
      <w:szCs w:val="24"/>
      <w:lang w:val="en-GB"/>
    </w:rPr>
  </w:style>
  <w:style w:type="character" w:styleId="PageNumber">
    <w:name w:val="page number"/>
    <w:rsid w:val="00853EFE"/>
  </w:style>
  <w:style w:type="paragraph" w:styleId="BodyText">
    <w:name w:val="Body Text"/>
    <w:basedOn w:val="Normal"/>
    <w:link w:val="BodyTextChar"/>
    <w:rsid w:val="00853EFE"/>
    <w:pPr>
      <w:spacing w:after="0" w:line="320" w:lineRule="exact"/>
      <w:jc w:val="both"/>
    </w:pPr>
    <w:rPr>
      <w:rFonts w:ascii="Times New Roman" w:eastAsia="Times New Roman" w:hAnsi="Times New Roman"/>
      <w:sz w:val="24"/>
      <w:lang w:val="lt-LT"/>
    </w:rPr>
  </w:style>
  <w:style w:type="character" w:customStyle="1" w:styleId="BodyTextChar">
    <w:name w:val="Body Text Char"/>
    <w:basedOn w:val="DefaultParagraphFont"/>
    <w:link w:val="BodyText"/>
    <w:rsid w:val="00853EFE"/>
    <w:rPr>
      <w:rFonts w:ascii="Times New Roman" w:eastAsia="Times New Roman" w:hAnsi="Times New Roman" w:cs="Times New Roman"/>
      <w:sz w:val="24"/>
      <w:lang w:val="lt-LT"/>
    </w:rPr>
  </w:style>
  <w:style w:type="table" w:customStyle="1" w:styleId="Lentelstinklelis1">
    <w:name w:val="Lentelės tinklelis1"/>
    <w:basedOn w:val="TableNormal"/>
    <w:next w:val="TableGrid"/>
    <w:uiPriority w:val="59"/>
    <w:rsid w:val="00474018"/>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trats1">
    <w:name w:val="Antraštės1"/>
    <w:basedOn w:val="Normal"/>
    <w:next w:val="Header"/>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DefaultParagraphFont"/>
    <w:link w:val="Antrats1"/>
    <w:uiPriority w:val="99"/>
    <w:rsid w:val="00474018"/>
  </w:style>
  <w:style w:type="paragraph" w:styleId="Header">
    <w:name w:val="header"/>
    <w:basedOn w:val="Normal"/>
    <w:link w:val="HeaderChar"/>
    <w:uiPriority w:val="99"/>
    <w:semiHidden/>
    <w:unhideWhenUsed/>
    <w:rsid w:val="0047401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740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idraudim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idraudimas.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C191-87CE-4B39-8BF2-8CBEA518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4898</Words>
  <Characters>2793</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Bankas Snoras</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Kestutis Simanavicius</dc:creator>
  <cp:lastModifiedBy>Erna</cp:lastModifiedBy>
  <cp:revision>3</cp:revision>
  <cp:lastPrinted>2015-01-27T15:03:00Z</cp:lastPrinted>
  <dcterms:created xsi:type="dcterms:W3CDTF">2015-01-31T16:18:00Z</dcterms:created>
  <dcterms:modified xsi:type="dcterms:W3CDTF">2015-01-31T16:19:00Z</dcterms:modified>
</cp:coreProperties>
</file>