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43150" w14:textId="24384797" w:rsidR="00526D6F" w:rsidRDefault="00EB69AE" w:rsidP="00EB69AE">
      <w:pPr>
        <w:jc w:val="center"/>
        <w:rPr>
          <w:rFonts w:cstheme="minorHAnsi"/>
          <w:b/>
          <w:bCs/>
          <w:sz w:val="40"/>
          <w:szCs w:val="40"/>
        </w:rPr>
      </w:pPr>
      <w:r>
        <w:rPr>
          <w:noProof/>
        </w:rPr>
        <w:drawing>
          <wp:inline distT="0" distB="0" distL="0" distR="0" wp14:anchorId="464CA3BA" wp14:editId="37DF931D">
            <wp:extent cx="1003300" cy="6790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5433" cy="687212"/>
                    </a:xfrm>
                    <a:prstGeom prst="rect">
                      <a:avLst/>
                    </a:prstGeom>
                    <a:noFill/>
                    <a:ln>
                      <a:noFill/>
                    </a:ln>
                  </pic:spPr>
                </pic:pic>
              </a:graphicData>
            </a:graphic>
          </wp:inline>
        </w:drawing>
      </w:r>
    </w:p>
    <w:p w14:paraId="534646B3" w14:textId="3DE90037" w:rsidR="007179E8" w:rsidRPr="009A5205" w:rsidRDefault="007179E8" w:rsidP="00C05744">
      <w:pPr>
        <w:spacing w:after="0" w:line="240" w:lineRule="auto"/>
        <w:jc w:val="center"/>
        <w:rPr>
          <w:rFonts w:ascii="Open Sans" w:hAnsi="Open Sans" w:cs="Open Sans"/>
          <w:b/>
          <w:bCs/>
          <w:color w:val="595959" w:themeColor="text1" w:themeTint="A6"/>
          <w:sz w:val="28"/>
          <w:szCs w:val="28"/>
        </w:rPr>
      </w:pPr>
      <w:r w:rsidRPr="009A5205">
        <w:rPr>
          <w:rFonts w:ascii="Open Sans" w:hAnsi="Open Sans" w:cs="Open Sans"/>
          <w:b/>
          <w:bCs/>
          <w:color w:val="595959" w:themeColor="text1" w:themeTint="A6"/>
          <w:sz w:val="28"/>
          <w:szCs w:val="28"/>
        </w:rPr>
        <w:t>Bendro pobūdžio informacija</w:t>
      </w:r>
      <w:r w:rsidR="00C05744" w:rsidRPr="009A5205">
        <w:rPr>
          <w:rFonts w:ascii="Open Sans" w:hAnsi="Open Sans" w:cs="Open Sans"/>
          <w:b/>
          <w:bCs/>
          <w:color w:val="595959" w:themeColor="text1" w:themeTint="A6"/>
          <w:sz w:val="28"/>
          <w:szCs w:val="28"/>
        </w:rPr>
        <w:t xml:space="preserve"> dėl </w:t>
      </w:r>
      <w:r w:rsidR="005C4EFD" w:rsidRPr="009A5205">
        <w:rPr>
          <w:rFonts w:ascii="Open Sans" w:hAnsi="Open Sans" w:cs="Open Sans"/>
          <w:b/>
          <w:bCs/>
          <w:color w:val="595959" w:themeColor="text1" w:themeTint="A6"/>
          <w:sz w:val="28"/>
          <w:szCs w:val="28"/>
        </w:rPr>
        <w:t xml:space="preserve">kreditų susijusių </w:t>
      </w:r>
      <w:r w:rsidR="00C05744" w:rsidRPr="009A5205">
        <w:rPr>
          <w:rFonts w:ascii="Open Sans" w:hAnsi="Open Sans" w:cs="Open Sans"/>
          <w:b/>
          <w:bCs/>
          <w:color w:val="595959" w:themeColor="text1" w:themeTint="A6"/>
          <w:sz w:val="28"/>
          <w:szCs w:val="28"/>
        </w:rPr>
        <w:t xml:space="preserve">su nekilnojamuoju turtu </w:t>
      </w:r>
    </w:p>
    <w:p w14:paraId="2E6EFDEF" w14:textId="77777777" w:rsidR="001E1619" w:rsidRDefault="001E1619" w:rsidP="007179E8">
      <w:pPr>
        <w:spacing w:after="0" w:line="240" w:lineRule="auto"/>
        <w:rPr>
          <w:rFonts w:ascii="Open Sans" w:hAnsi="Open Sans" w:cs="Open Sans"/>
          <w:color w:val="595959" w:themeColor="text1" w:themeTint="A6"/>
          <w:sz w:val="20"/>
          <w:szCs w:val="20"/>
        </w:rPr>
      </w:pPr>
    </w:p>
    <w:p w14:paraId="4A131206" w14:textId="34C17184" w:rsidR="007179E8" w:rsidRPr="007179E8" w:rsidRDefault="007179E8" w:rsidP="007179E8">
      <w:pPr>
        <w:spacing w:after="0" w:line="240" w:lineRule="auto"/>
        <w:rPr>
          <w:rFonts w:ascii="Open Sans" w:hAnsi="Open Sans" w:cs="Open Sans"/>
          <w:color w:val="595959" w:themeColor="text1" w:themeTint="A6"/>
          <w:sz w:val="20"/>
          <w:szCs w:val="20"/>
        </w:rPr>
      </w:pPr>
    </w:p>
    <w:p w14:paraId="58A75794" w14:textId="7EF2DA67" w:rsidR="007179E8" w:rsidRPr="008160F0" w:rsidRDefault="003E52AC" w:rsidP="008160F0">
      <w:pPr>
        <w:spacing w:after="0" w:line="240" w:lineRule="auto"/>
        <w:rPr>
          <w:rFonts w:ascii="Open Sans" w:hAnsi="Open Sans" w:cs="Open Sans"/>
          <w:b/>
          <w:bCs/>
          <w:color w:val="595959" w:themeColor="text1" w:themeTint="A6"/>
          <w:sz w:val="20"/>
          <w:szCs w:val="20"/>
          <w:u w:val="single"/>
        </w:rPr>
      </w:pPr>
      <w:r w:rsidRPr="003E52AC">
        <w:rPr>
          <w:rFonts w:ascii="Open Sans" w:hAnsi="Open Sans" w:cs="Open Sans"/>
          <w:b/>
          <w:bCs/>
          <w:color w:val="595959" w:themeColor="text1" w:themeTint="A6"/>
          <w:sz w:val="20"/>
          <w:szCs w:val="20"/>
        </w:rPr>
        <w:t>K</w:t>
      </w:r>
      <w:r w:rsidR="007179E8" w:rsidRPr="003E52AC">
        <w:rPr>
          <w:rFonts w:ascii="Open Sans" w:hAnsi="Open Sans" w:cs="Open Sans"/>
          <w:b/>
          <w:bCs/>
          <w:color w:val="595959" w:themeColor="text1" w:themeTint="A6"/>
          <w:sz w:val="20"/>
          <w:szCs w:val="20"/>
        </w:rPr>
        <w:t>redito davėj</w:t>
      </w:r>
      <w:r w:rsidRPr="003E52AC">
        <w:rPr>
          <w:rFonts w:ascii="Open Sans" w:hAnsi="Open Sans" w:cs="Open Sans"/>
          <w:b/>
          <w:bCs/>
          <w:color w:val="595959" w:themeColor="text1" w:themeTint="A6"/>
          <w:sz w:val="20"/>
          <w:szCs w:val="20"/>
        </w:rPr>
        <w:t>as</w:t>
      </w:r>
      <w:r>
        <w:rPr>
          <w:rFonts w:ascii="Open Sans" w:hAnsi="Open Sans" w:cs="Open Sans"/>
          <w:color w:val="595959" w:themeColor="text1" w:themeTint="A6"/>
          <w:sz w:val="20"/>
          <w:szCs w:val="20"/>
        </w:rPr>
        <w:t xml:space="preserve"> </w:t>
      </w:r>
      <w:r w:rsidR="00805289">
        <w:rPr>
          <w:rFonts w:ascii="Open Sans" w:hAnsi="Open Sans" w:cs="Open Sans"/>
          <w:color w:val="595959" w:themeColor="text1" w:themeTint="A6"/>
          <w:sz w:val="20"/>
          <w:szCs w:val="20"/>
        </w:rPr>
        <w:t>–</w:t>
      </w:r>
      <w:r w:rsidR="007179E8" w:rsidRPr="007179E8">
        <w:rPr>
          <w:rFonts w:ascii="Open Sans" w:hAnsi="Open Sans" w:cs="Open Sans"/>
          <w:color w:val="595959" w:themeColor="text1" w:themeTint="A6"/>
          <w:sz w:val="20"/>
          <w:szCs w:val="20"/>
        </w:rPr>
        <w:t xml:space="preserve"> </w:t>
      </w:r>
      <w:r w:rsidR="001E3DEB">
        <w:rPr>
          <w:rFonts w:ascii="Open Sans" w:hAnsi="Open Sans" w:cs="Open Sans"/>
          <w:b/>
          <w:bCs/>
          <w:color w:val="595959" w:themeColor="text1" w:themeTint="A6"/>
          <w:u w:val="single"/>
        </w:rPr>
        <w:t>Kauno kredito unija, S. Lozoraičio g.,19 , Garliava, Kauno raj.</w:t>
      </w:r>
    </w:p>
    <w:p w14:paraId="51954DA1" w14:textId="77777777" w:rsidR="001E1619" w:rsidRPr="007179E8" w:rsidRDefault="001E1619" w:rsidP="007179E8">
      <w:pPr>
        <w:spacing w:after="0" w:line="240" w:lineRule="auto"/>
        <w:rPr>
          <w:rFonts w:ascii="Open Sans" w:hAnsi="Open Sans" w:cs="Open Sans"/>
          <w:color w:val="595959" w:themeColor="text1" w:themeTint="A6"/>
          <w:sz w:val="20"/>
          <w:szCs w:val="20"/>
        </w:rPr>
      </w:pPr>
    </w:p>
    <w:p w14:paraId="5221934B" w14:textId="77777777" w:rsidR="009653C1" w:rsidRDefault="009653C1" w:rsidP="007179E8">
      <w:pPr>
        <w:spacing w:after="0" w:line="240" w:lineRule="auto"/>
        <w:rPr>
          <w:rFonts w:ascii="Open Sans" w:hAnsi="Open Sans" w:cs="Open Sans"/>
          <w:b/>
          <w:bCs/>
          <w:color w:val="595959" w:themeColor="text1" w:themeTint="A6"/>
          <w:sz w:val="20"/>
          <w:szCs w:val="20"/>
        </w:rPr>
      </w:pPr>
    </w:p>
    <w:p w14:paraId="51D14881" w14:textId="4F9FAE04" w:rsidR="00AB1165" w:rsidRPr="007179E8" w:rsidRDefault="00AB1165" w:rsidP="00E55813">
      <w:pPr>
        <w:spacing w:after="0" w:line="240" w:lineRule="auto"/>
        <w:jc w:val="both"/>
        <w:rPr>
          <w:rFonts w:ascii="Open Sans" w:hAnsi="Open Sans" w:cs="Open Sans"/>
          <w:color w:val="595959" w:themeColor="text1" w:themeTint="A6"/>
          <w:sz w:val="20"/>
          <w:szCs w:val="20"/>
        </w:rPr>
      </w:pPr>
      <w:r w:rsidRPr="00AB1165">
        <w:rPr>
          <w:rFonts w:ascii="Open Sans" w:hAnsi="Open Sans" w:cs="Open Sans"/>
          <w:b/>
          <w:bCs/>
          <w:color w:val="595959" w:themeColor="text1" w:themeTint="A6"/>
          <w:sz w:val="20"/>
          <w:szCs w:val="20"/>
        </w:rPr>
        <w:t>T</w:t>
      </w:r>
      <w:r w:rsidR="007179E8" w:rsidRPr="00AB1165">
        <w:rPr>
          <w:rFonts w:ascii="Open Sans" w:hAnsi="Open Sans" w:cs="Open Sans"/>
          <w:b/>
          <w:bCs/>
          <w:color w:val="595959" w:themeColor="text1" w:themeTint="A6"/>
          <w:sz w:val="20"/>
          <w:szCs w:val="20"/>
        </w:rPr>
        <w:t>ikslai, kuriems gali būti naudojamas kreditas</w:t>
      </w:r>
      <w:r>
        <w:rPr>
          <w:rFonts w:ascii="Open Sans" w:hAnsi="Open Sans" w:cs="Open Sans"/>
          <w:color w:val="595959" w:themeColor="text1" w:themeTint="A6"/>
          <w:sz w:val="20"/>
          <w:szCs w:val="20"/>
        </w:rPr>
        <w:t xml:space="preserve"> </w:t>
      </w:r>
      <w:r w:rsidR="005C4EFD">
        <w:rPr>
          <w:rFonts w:ascii="Open Sans" w:hAnsi="Open Sans" w:cs="Open Sans"/>
          <w:color w:val="595959" w:themeColor="text1" w:themeTint="A6"/>
          <w:sz w:val="20"/>
          <w:szCs w:val="20"/>
        </w:rPr>
        <w:t>–</w:t>
      </w:r>
      <w:r>
        <w:rPr>
          <w:rFonts w:ascii="Open Sans" w:hAnsi="Open Sans" w:cs="Open Sans"/>
          <w:color w:val="595959" w:themeColor="text1" w:themeTint="A6"/>
          <w:sz w:val="20"/>
          <w:szCs w:val="20"/>
        </w:rPr>
        <w:t xml:space="preserve"> k</w:t>
      </w:r>
      <w:r w:rsidRPr="00AB1165">
        <w:rPr>
          <w:rFonts w:ascii="Open Sans" w:hAnsi="Open Sans" w:cs="Open Sans"/>
          <w:color w:val="595959" w:themeColor="text1" w:themeTint="A6"/>
          <w:sz w:val="20"/>
          <w:szCs w:val="20"/>
        </w:rPr>
        <w:t>reditas</w:t>
      </w:r>
      <w:r w:rsidR="005C4EFD">
        <w:rPr>
          <w:rFonts w:ascii="Open Sans" w:hAnsi="Open Sans" w:cs="Open Sans"/>
          <w:color w:val="595959" w:themeColor="text1" w:themeTint="A6"/>
          <w:sz w:val="20"/>
          <w:szCs w:val="20"/>
        </w:rPr>
        <w:t xml:space="preserve"> susijęs su </w:t>
      </w:r>
      <w:r w:rsidR="007412ED">
        <w:rPr>
          <w:rFonts w:ascii="Open Sans" w:hAnsi="Open Sans" w:cs="Open Sans"/>
          <w:color w:val="595959" w:themeColor="text1" w:themeTint="A6"/>
          <w:sz w:val="20"/>
          <w:szCs w:val="20"/>
        </w:rPr>
        <w:t>nekilnojamo turto įkeitimu</w:t>
      </w:r>
      <w:r w:rsidR="002F4B59">
        <w:rPr>
          <w:rFonts w:ascii="Open Sans" w:hAnsi="Open Sans" w:cs="Open Sans"/>
          <w:color w:val="595959" w:themeColor="text1" w:themeTint="A6"/>
          <w:sz w:val="20"/>
          <w:szCs w:val="20"/>
        </w:rPr>
        <w:t xml:space="preserve"> (toliau kreditas susijęs su NT)</w:t>
      </w:r>
      <w:r w:rsidR="007412ED" w:rsidRPr="00AB1165">
        <w:rPr>
          <w:rFonts w:ascii="Open Sans" w:hAnsi="Open Sans" w:cs="Open Sans"/>
          <w:color w:val="595959" w:themeColor="text1" w:themeTint="A6"/>
          <w:sz w:val="20"/>
          <w:szCs w:val="20"/>
        </w:rPr>
        <w:t xml:space="preserve"> </w:t>
      </w:r>
      <w:r w:rsidRPr="00AB1165">
        <w:rPr>
          <w:rFonts w:ascii="Open Sans" w:hAnsi="Open Sans" w:cs="Open Sans"/>
          <w:color w:val="595959" w:themeColor="text1" w:themeTint="A6"/>
          <w:sz w:val="20"/>
          <w:szCs w:val="20"/>
        </w:rPr>
        <w:t>suteikiamas fiziniam asmeniui</w:t>
      </w:r>
      <w:r w:rsidR="007412ED">
        <w:rPr>
          <w:rFonts w:ascii="Open Sans" w:hAnsi="Open Sans" w:cs="Open Sans"/>
          <w:color w:val="595959" w:themeColor="text1" w:themeTint="A6"/>
          <w:sz w:val="20"/>
          <w:szCs w:val="20"/>
        </w:rPr>
        <w:t>, ketinančiam pirkti, statyti</w:t>
      </w:r>
      <w:r w:rsidR="002A64D7">
        <w:rPr>
          <w:rFonts w:ascii="Open Sans" w:hAnsi="Open Sans" w:cs="Open Sans"/>
          <w:color w:val="595959" w:themeColor="text1" w:themeTint="A6"/>
          <w:sz w:val="20"/>
          <w:szCs w:val="20"/>
        </w:rPr>
        <w:t xml:space="preserve"> ar rekonstruoti</w:t>
      </w:r>
      <w:r w:rsidR="007412ED">
        <w:rPr>
          <w:rFonts w:ascii="Open Sans" w:hAnsi="Open Sans" w:cs="Open Sans"/>
          <w:color w:val="595959" w:themeColor="text1" w:themeTint="A6"/>
          <w:sz w:val="20"/>
          <w:szCs w:val="20"/>
        </w:rPr>
        <w:t xml:space="preserve"> nekilnojamą turtą,</w:t>
      </w:r>
      <w:r w:rsidR="002A64D7">
        <w:rPr>
          <w:rFonts w:ascii="Open Sans" w:hAnsi="Open Sans" w:cs="Open Sans"/>
          <w:color w:val="595959" w:themeColor="text1" w:themeTint="A6"/>
          <w:sz w:val="20"/>
          <w:szCs w:val="20"/>
        </w:rPr>
        <w:t xml:space="preserve"> </w:t>
      </w:r>
      <w:r w:rsidR="00BF6808">
        <w:rPr>
          <w:rFonts w:ascii="Open Sans" w:hAnsi="Open Sans" w:cs="Open Sans"/>
          <w:color w:val="595959" w:themeColor="text1" w:themeTint="A6"/>
          <w:sz w:val="20"/>
          <w:szCs w:val="20"/>
        </w:rPr>
        <w:t>kuris skirtas</w:t>
      </w:r>
      <w:r w:rsidR="007412ED">
        <w:rPr>
          <w:rFonts w:ascii="Open Sans" w:hAnsi="Open Sans" w:cs="Open Sans"/>
          <w:color w:val="595959" w:themeColor="text1" w:themeTint="A6"/>
          <w:sz w:val="20"/>
          <w:szCs w:val="20"/>
        </w:rPr>
        <w:t xml:space="preserve"> šeimos</w:t>
      </w:r>
      <w:r w:rsidR="00BF6808">
        <w:rPr>
          <w:rFonts w:ascii="Open Sans" w:hAnsi="Open Sans" w:cs="Open Sans"/>
          <w:color w:val="595959" w:themeColor="text1" w:themeTint="A6"/>
          <w:sz w:val="20"/>
          <w:szCs w:val="20"/>
        </w:rPr>
        <w:t xml:space="preserve"> poreikių tenkinimui</w:t>
      </w:r>
      <w:r w:rsidR="004A3BD5">
        <w:rPr>
          <w:rFonts w:ascii="Open Sans" w:hAnsi="Open Sans" w:cs="Open Sans"/>
          <w:color w:val="595959" w:themeColor="text1" w:themeTint="A6"/>
          <w:sz w:val="20"/>
          <w:szCs w:val="20"/>
        </w:rPr>
        <w:t xml:space="preserve"> arba kai į</w:t>
      </w:r>
      <w:r w:rsidR="00BF6808" w:rsidRPr="00BF6808">
        <w:rPr>
          <w:rFonts w:ascii="Open Sans" w:hAnsi="Open Sans" w:cs="Open Sans"/>
          <w:color w:val="595959" w:themeColor="text1" w:themeTint="A6"/>
          <w:sz w:val="20"/>
          <w:szCs w:val="20"/>
        </w:rPr>
        <w:t>sipareigojimų įvykdymui užtikrinti įkeičiamas nekilnojamas turtas</w:t>
      </w:r>
      <w:r w:rsidR="002A64D7" w:rsidRPr="002A64D7">
        <w:rPr>
          <w:rFonts w:ascii="Open Sans" w:hAnsi="Open Sans" w:cs="Open Sans"/>
          <w:color w:val="595959" w:themeColor="text1" w:themeTint="A6"/>
          <w:sz w:val="20"/>
          <w:szCs w:val="20"/>
        </w:rPr>
        <w:t>, kaip tai apibrėžta</w:t>
      </w:r>
      <w:r w:rsidR="002A64D7">
        <w:rPr>
          <w:rFonts w:ascii="Open Sans" w:hAnsi="Open Sans" w:cs="Open Sans"/>
          <w:color w:val="595959" w:themeColor="text1" w:themeTint="A6"/>
          <w:sz w:val="20"/>
          <w:szCs w:val="20"/>
        </w:rPr>
        <w:t xml:space="preserve"> </w:t>
      </w:r>
      <w:r w:rsidR="002A64D7" w:rsidRPr="002A64D7">
        <w:rPr>
          <w:rFonts w:ascii="Open Sans" w:hAnsi="Open Sans" w:cs="Open Sans"/>
          <w:color w:val="595959" w:themeColor="text1" w:themeTint="A6"/>
          <w:sz w:val="20"/>
          <w:szCs w:val="20"/>
        </w:rPr>
        <w:t>Lietuvos Respublikos su nekilnojamuoju turtu susijusio kredito įstatyme</w:t>
      </w:r>
      <w:r w:rsidR="002A64D7">
        <w:rPr>
          <w:rFonts w:ascii="Open Sans" w:hAnsi="Open Sans" w:cs="Open Sans"/>
          <w:color w:val="595959" w:themeColor="text1" w:themeTint="A6"/>
          <w:sz w:val="20"/>
          <w:szCs w:val="20"/>
        </w:rPr>
        <w:t>.</w:t>
      </w:r>
    </w:p>
    <w:p w14:paraId="4492D630" w14:textId="77777777" w:rsidR="009653C1" w:rsidRDefault="009653C1" w:rsidP="007179E8">
      <w:pPr>
        <w:spacing w:after="0" w:line="240" w:lineRule="auto"/>
        <w:rPr>
          <w:rFonts w:ascii="Open Sans" w:hAnsi="Open Sans" w:cs="Open Sans"/>
          <w:b/>
          <w:bCs/>
          <w:color w:val="595959" w:themeColor="text1" w:themeTint="A6"/>
          <w:sz w:val="20"/>
          <w:szCs w:val="20"/>
        </w:rPr>
      </w:pPr>
    </w:p>
    <w:p w14:paraId="3D573A03" w14:textId="26B338B2" w:rsidR="007179E8" w:rsidRDefault="00295E64" w:rsidP="00E55813">
      <w:pPr>
        <w:spacing w:after="0" w:line="240" w:lineRule="auto"/>
        <w:jc w:val="both"/>
        <w:rPr>
          <w:rFonts w:ascii="Open Sans" w:hAnsi="Open Sans" w:cs="Open Sans"/>
          <w:color w:val="595959" w:themeColor="text1" w:themeTint="A6"/>
          <w:sz w:val="20"/>
          <w:szCs w:val="20"/>
        </w:rPr>
      </w:pPr>
      <w:r w:rsidRPr="009653C1">
        <w:rPr>
          <w:rFonts w:ascii="Open Sans" w:hAnsi="Open Sans" w:cs="Open Sans"/>
          <w:b/>
          <w:bCs/>
          <w:color w:val="595959" w:themeColor="text1" w:themeTint="A6"/>
          <w:sz w:val="20"/>
          <w:szCs w:val="20"/>
        </w:rPr>
        <w:t>Į</w:t>
      </w:r>
      <w:r w:rsidR="007179E8" w:rsidRPr="009653C1">
        <w:rPr>
          <w:rFonts w:ascii="Open Sans" w:hAnsi="Open Sans" w:cs="Open Sans"/>
          <w:b/>
          <w:bCs/>
          <w:color w:val="595959" w:themeColor="text1" w:themeTint="A6"/>
          <w:sz w:val="20"/>
          <w:szCs w:val="20"/>
        </w:rPr>
        <w:t>sipareigojimų pagal kredito sutartį įvykdymo užtikrinimo formos</w:t>
      </w:r>
      <w:r>
        <w:rPr>
          <w:rFonts w:ascii="Open Sans" w:hAnsi="Open Sans" w:cs="Open Sans"/>
          <w:color w:val="595959" w:themeColor="text1" w:themeTint="A6"/>
          <w:sz w:val="20"/>
          <w:szCs w:val="20"/>
        </w:rPr>
        <w:t xml:space="preserve"> - </w:t>
      </w:r>
      <w:r w:rsidR="009653C1">
        <w:rPr>
          <w:rFonts w:ascii="Open Sans" w:hAnsi="Open Sans" w:cs="Open Sans"/>
          <w:color w:val="595959" w:themeColor="text1" w:themeTint="A6"/>
          <w:sz w:val="20"/>
          <w:szCs w:val="20"/>
        </w:rPr>
        <w:t>į</w:t>
      </w:r>
      <w:r w:rsidR="009653C1" w:rsidRPr="009653C1">
        <w:rPr>
          <w:rFonts w:ascii="Open Sans" w:hAnsi="Open Sans" w:cs="Open Sans"/>
          <w:color w:val="595959" w:themeColor="text1" w:themeTint="A6"/>
          <w:sz w:val="20"/>
          <w:szCs w:val="20"/>
        </w:rPr>
        <w:t xml:space="preserve">sipareigojimų pagal kredito sutartį tinkamas įvykdymas </w:t>
      </w:r>
      <w:r w:rsidR="009653C1">
        <w:rPr>
          <w:rFonts w:ascii="Open Sans" w:hAnsi="Open Sans" w:cs="Open Sans"/>
          <w:color w:val="595959" w:themeColor="text1" w:themeTint="A6"/>
          <w:sz w:val="20"/>
          <w:szCs w:val="20"/>
        </w:rPr>
        <w:t>gali</w:t>
      </w:r>
      <w:r w:rsidR="009653C1" w:rsidRPr="009653C1">
        <w:rPr>
          <w:rFonts w:ascii="Open Sans" w:hAnsi="Open Sans" w:cs="Open Sans"/>
          <w:color w:val="595959" w:themeColor="text1" w:themeTint="A6"/>
          <w:sz w:val="20"/>
          <w:szCs w:val="20"/>
        </w:rPr>
        <w:t xml:space="preserve"> būti užtikrintas</w:t>
      </w:r>
      <w:r w:rsidR="009653C1">
        <w:rPr>
          <w:rFonts w:ascii="Open Sans" w:hAnsi="Open Sans" w:cs="Open Sans"/>
          <w:color w:val="595959" w:themeColor="text1" w:themeTint="A6"/>
          <w:sz w:val="20"/>
          <w:szCs w:val="20"/>
        </w:rPr>
        <w:t xml:space="preserve"> tik</w:t>
      </w:r>
      <w:r w:rsidR="009653C1" w:rsidRPr="009653C1">
        <w:rPr>
          <w:rFonts w:ascii="Open Sans" w:hAnsi="Open Sans" w:cs="Open Sans"/>
          <w:color w:val="595959" w:themeColor="text1" w:themeTint="A6"/>
          <w:sz w:val="20"/>
          <w:szCs w:val="20"/>
        </w:rPr>
        <w:t xml:space="preserve"> Lietuvos Respublikoje esančio nekilnojamojo turto hipoteka.</w:t>
      </w:r>
    </w:p>
    <w:p w14:paraId="7E3B3918" w14:textId="77777777" w:rsidR="009653C1" w:rsidRDefault="009653C1" w:rsidP="007179E8">
      <w:pPr>
        <w:spacing w:after="0" w:line="240" w:lineRule="auto"/>
        <w:rPr>
          <w:rFonts w:ascii="Open Sans" w:hAnsi="Open Sans" w:cs="Open Sans"/>
          <w:color w:val="595959" w:themeColor="text1" w:themeTint="A6"/>
          <w:sz w:val="20"/>
          <w:szCs w:val="20"/>
        </w:rPr>
      </w:pPr>
    </w:p>
    <w:p w14:paraId="56594A66" w14:textId="18F465B1" w:rsidR="007179E8" w:rsidRDefault="009653C1" w:rsidP="007179E8">
      <w:pPr>
        <w:spacing w:after="0" w:line="240" w:lineRule="auto"/>
        <w:rPr>
          <w:rFonts w:ascii="Open Sans" w:hAnsi="Open Sans" w:cs="Open Sans"/>
          <w:color w:val="595959" w:themeColor="text1" w:themeTint="A6"/>
          <w:sz w:val="20"/>
          <w:szCs w:val="20"/>
        </w:rPr>
      </w:pPr>
      <w:r w:rsidRPr="009653C1">
        <w:rPr>
          <w:rFonts w:ascii="Open Sans" w:hAnsi="Open Sans" w:cs="Open Sans"/>
          <w:b/>
          <w:bCs/>
          <w:color w:val="595959" w:themeColor="text1" w:themeTint="A6"/>
          <w:sz w:val="20"/>
          <w:szCs w:val="20"/>
        </w:rPr>
        <w:t>G</w:t>
      </w:r>
      <w:r w:rsidR="007179E8" w:rsidRPr="009653C1">
        <w:rPr>
          <w:rFonts w:ascii="Open Sans" w:hAnsi="Open Sans" w:cs="Open Sans"/>
          <w:b/>
          <w:bCs/>
          <w:color w:val="595959" w:themeColor="text1" w:themeTint="A6"/>
          <w:sz w:val="20"/>
          <w:szCs w:val="20"/>
        </w:rPr>
        <w:t>alima kredito sutarties trukmė</w:t>
      </w:r>
      <w:r>
        <w:rPr>
          <w:rFonts w:ascii="Open Sans" w:hAnsi="Open Sans" w:cs="Open Sans"/>
          <w:color w:val="595959" w:themeColor="text1" w:themeTint="A6"/>
          <w:sz w:val="20"/>
          <w:szCs w:val="20"/>
        </w:rPr>
        <w:t xml:space="preserve"> </w:t>
      </w:r>
      <w:r w:rsidR="00771866">
        <w:rPr>
          <w:rFonts w:ascii="Open Sans" w:hAnsi="Open Sans" w:cs="Open Sans"/>
          <w:color w:val="595959" w:themeColor="text1" w:themeTint="A6"/>
          <w:sz w:val="20"/>
          <w:szCs w:val="20"/>
        </w:rPr>
        <w:t>–</w:t>
      </w:r>
      <w:r>
        <w:rPr>
          <w:rFonts w:ascii="Open Sans" w:hAnsi="Open Sans" w:cs="Open Sans"/>
          <w:color w:val="595959" w:themeColor="text1" w:themeTint="A6"/>
          <w:sz w:val="20"/>
          <w:szCs w:val="20"/>
        </w:rPr>
        <w:t xml:space="preserve"> </w:t>
      </w:r>
      <w:r w:rsidR="00771866">
        <w:rPr>
          <w:rFonts w:ascii="Open Sans" w:hAnsi="Open Sans" w:cs="Open Sans"/>
          <w:color w:val="595959" w:themeColor="text1" w:themeTint="A6"/>
          <w:sz w:val="20"/>
          <w:szCs w:val="20"/>
        </w:rPr>
        <w:t>maksimaliai iki 30 metų terminui.</w:t>
      </w:r>
    </w:p>
    <w:p w14:paraId="72EDE4EE" w14:textId="6EE44B04" w:rsidR="00771866" w:rsidRPr="007179E8" w:rsidRDefault="007341F7" w:rsidP="007341F7">
      <w:pPr>
        <w:tabs>
          <w:tab w:val="left" w:pos="3585"/>
        </w:tabs>
        <w:spacing w:after="0" w:line="240" w:lineRule="auto"/>
        <w:rPr>
          <w:rFonts w:ascii="Open Sans" w:hAnsi="Open Sans" w:cs="Open Sans"/>
          <w:color w:val="595959" w:themeColor="text1" w:themeTint="A6"/>
          <w:sz w:val="20"/>
          <w:szCs w:val="20"/>
        </w:rPr>
      </w:pPr>
      <w:r>
        <w:rPr>
          <w:rFonts w:ascii="Open Sans" w:hAnsi="Open Sans" w:cs="Open Sans"/>
          <w:color w:val="595959" w:themeColor="text1" w:themeTint="A6"/>
          <w:sz w:val="20"/>
          <w:szCs w:val="20"/>
        </w:rPr>
        <w:tab/>
      </w:r>
    </w:p>
    <w:p w14:paraId="151F3F3C" w14:textId="773B7CEC" w:rsidR="00D30C01" w:rsidRDefault="00771866" w:rsidP="00D30C01">
      <w:pPr>
        <w:spacing w:after="0" w:line="240" w:lineRule="auto"/>
        <w:jc w:val="both"/>
        <w:rPr>
          <w:rFonts w:ascii="Open Sans" w:hAnsi="Open Sans" w:cs="Open Sans"/>
          <w:color w:val="595959" w:themeColor="text1" w:themeTint="A6"/>
          <w:sz w:val="20"/>
          <w:szCs w:val="20"/>
        </w:rPr>
      </w:pPr>
      <w:r w:rsidRPr="00771866">
        <w:rPr>
          <w:rFonts w:ascii="Open Sans" w:hAnsi="Open Sans" w:cs="Open Sans"/>
          <w:b/>
          <w:bCs/>
          <w:color w:val="595959" w:themeColor="text1" w:themeTint="A6"/>
          <w:sz w:val="20"/>
          <w:szCs w:val="20"/>
        </w:rPr>
        <w:t>S</w:t>
      </w:r>
      <w:r w:rsidR="007179E8" w:rsidRPr="00771866">
        <w:rPr>
          <w:rFonts w:ascii="Open Sans" w:hAnsi="Open Sans" w:cs="Open Sans"/>
          <w:b/>
          <w:bCs/>
          <w:color w:val="595959" w:themeColor="text1" w:themeTint="A6"/>
          <w:sz w:val="20"/>
          <w:szCs w:val="20"/>
        </w:rPr>
        <w:t>iūlomos kredito palūkanų normos</w:t>
      </w:r>
      <w:r w:rsidR="000104CD">
        <w:rPr>
          <w:rFonts w:ascii="Open Sans" w:hAnsi="Open Sans" w:cs="Open Sans"/>
          <w:b/>
          <w:bCs/>
          <w:color w:val="595959" w:themeColor="text1" w:themeTint="A6"/>
          <w:sz w:val="20"/>
          <w:szCs w:val="20"/>
        </w:rPr>
        <w:t xml:space="preserve"> bei galimos pasekmės</w:t>
      </w:r>
      <w:r w:rsidR="00B676AF">
        <w:rPr>
          <w:rFonts w:ascii="Open Sans" w:hAnsi="Open Sans" w:cs="Open Sans"/>
          <w:b/>
          <w:bCs/>
          <w:color w:val="595959" w:themeColor="text1" w:themeTint="A6"/>
          <w:sz w:val="20"/>
          <w:szCs w:val="20"/>
        </w:rPr>
        <w:t xml:space="preserve"> kredito gavėjui</w:t>
      </w:r>
      <w:r w:rsidR="009743D4">
        <w:rPr>
          <w:rFonts w:ascii="Open Sans" w:hAnsi="Open Sans" w:cs="Open Sans"/>
          <w:color w:val="595959" w:themeColor="text1" w:themeTint="A6"/>
          <w:sz w:val="20"/>
          <w:szCs w:val="20"/>
        </w:rPr>
        <w:t xml:space="preserve"> </w:t>
      </w:r>
      <w:r>
        <w:rPr>
          <w:rFonts w:ascii="Open Sans" w:hAnsi="Open Sans" w:cs="Open Sans"/>
          <w:color w:val="595959" w:themeColor="text1" w:themeTint="A6"/>
          <w:sz w:val="20"/>
          <w:szCs w:val="20"/>
        </w:rPr>
        <w:t xml:space="preserve">– palūkanų normos kiekvienam </w:t>
      </w:r>
      <w:r w:rsidR="003C6C45">
        <w:rPr>
          <w:rFonts w:ascii="Open Sans" w:hAnsi="Open Sans" w:cs="Open Sans"/>
          <w:color w:val="595959" w:themeColor="text1" w:themeTint="A6"/>
          <w:sz w:val="20"/>
          <w:szCs w:val="20"/>
        </w:rPr>
        <w:t>kredito gavėjui</w:t>
      </w:r>
      <w:r>
        <w:rPr>
          <w:rFonts w:ascii="Open Sans" w:hAnsi="Open Sans" w:cs="Open Sans"/>
          <w:color w:val="595959" w:themeColor="text1" w:themeTint="A6"/>
          <w:sz w:val="20"/>
          <w:szCs w:val="20"/>
        </w:rPr>
        <w:t xml:space="preserve"> nustatomos individualiai, atsižvelgiant į finansines galimybes, kredito sumą, nuosavų lėšų dalį. Palūkanų norma gali būti kintama arba fiksuota. </w:t>
      </w:r>
    </w:p>
    <w:p w14:paraId="67ADDE99" w14:textId="7F24E818" w:rsidR="00D30C01" w:rsidRDefault="00771866" w:rsidP="00D30C01">
      <w:pPr>
        <w:spacing w:after="0" w:line="240" w:lineRule="auto"/>
        <w:jc w:val="both"/>
        <w:rPr>
          <w:rFonts w:ascii="Open Sans" w:hAnsi="Open Sans" w:cs="Open Sans"/>
          <w:color w:val="595959" w:themeColor="text1" w:themeTint="A6"/>
          <w:sz w:val="20"/>
          <w:szCs w:val="20"/>
        </w:rPr>
      </w:pPr>
      <w:r w:rsidRPr="00D30C01">
        <w:rPr>
          <w:rFonts w:ascii="Open Sans" w:hAnsi="Open Sans" w:cs="Open Sans"/>
          <w:color w:val="595959" w:themeColor="text1" w:themeTint="A6"/>
          <w:sz w:val="20"/>
          <w:szCs w:val="20"/>
          <w:u w:val="single"/>
        </w:rPr>
        <w:t>Kintama palūkanų norma</w:t>
      </w:r>
      <w:r w:rsidRPr="00771866">
        <w:rPr>
          <w:rFonts w:ascii="Open Sans" w:hAnsi="Open Sans" w:cs="Open Sans"/>
          <w:color w:val="595959" w:themeColor="text1" w:themeTint="A6"/>
          <w:sz w:val="20"/>
          <w:szCs w:val="20"/>
        </w:rPr>
        <w:t xml:space="preserve"> nustatoma taip: prie kintamos palūkanų bazės (atitinkamai 3, 6, 12 mėn. laikotarpio EURIBOR arba 12 mėn. UNIBOR12 indekso, arba kito </w:t>
      </w:r>
      <w:r w:rsidR="007A2586">
        <w:rPr>
          <w:rFonts w:ascii="Open Sans" w:hAnsi="Open Sans" w:cs="Open Sans"/>
          <w:color w:val="595959" w:themeColor="text1" w:themeTint="A6"/>
          <w:sz w:val="20"/>
          <w:szCs w:val="20"/>
        </w:rPr>
        <w:t>k</w:t>
      </w:r>
      <w:r w:rsidRPr="00771866">
        <w:rPr>
          <w:rFonts w:ascii="Open Sans" w:hAnsi="Open Sans" w:cs="Open Sans"/>
          <w:color w:val="595959" w:themeColor="text1" w:themeTint="A6"/>
          <w:sz w:val="20"/>
          <w:szCs w:val="20"/>
        </w:rPr>
        <w:t xml:space="preserve">redito unijos pasirinkto indekso) reikšmės procentais pridedant </w:t>
      </w:r>
      <w:r w:rsidR="007A2586">
        <w:rPr>
          <w:rFonts w:ascii="Open Sans" w:hAnsi="Open Sans" w:cs="Open Sans"/>
          <w:color w:val="595959" w:themeColor="text1" w:themeTint="A6"/>
          <w:sz w:val="20"/>
          <w:szCs w:val="20"/>
        </w:rPr>
        <w:t>k</w:t>
      </w:r>
      <w:r w:rsidRPr="00771866">
        <w:rPr>
          <w:rFonts w:ascii="Open Sans" w:hAnsi="Open Sans" w:cs="Open Sans"/>
          <w:color w:val="595959" w:themeColor="text1" w:themeTint="A6"/>
          <w:sz w:val="20"/>
          <w:szCs w:val="20"/>
        </w:rPr>
        <w:t>redito unijos nustatytą maržą</w:t>
      </w:r>
      <w:r>
        <w:rPr>
          <w:rFonts w:ascii="Open Sans" w:hAnsi="Open Sans" w:cs="Open Sans"/>
          <w:color w:val="595959" w:themeColor="text1" w:themeTint="A6"/>
          <w:sz w:val="20"/>
          <w:szCs w:val="20"/>
        </w:rPr>
        <w:t xml:space="preserve">. </w:t>
      </w:r>
      <w:r w:rsidR="00D30C01" w:rsidRPr="00D30C01">
        <w:rPr>
          <w:rFonts w:ascii="Open Sans" w:hAnsi="Open Sans" w:cs="Open Sans"/>
          <w:color w:val="595959" w:themeColor="text1" w:themeTint="A6"/>
          <w:sz w:val="20"/>
          <w:szCs w:val="20"/>
        </w:rPr>
        <w:t>Kintamos</w:t>
      </w:r>
      <w:r w:rsidR="00D30C01">
        <w:rPr>
          <w:rFonts w:ascii="Open Sans" w:hAnsi="Open Sans" w:cs="Open Sans"/>
          <w:color w:val="595959" w:themeColor="text1" w:themeTint="A6"/>
          <w:sz w:val="20"/>
          <w:szCs w:val="20"/>
        </w:rPr>
        <w:t xml:space="preserve"> </w:t>
      </w:r>
      <w:r w:rsidR="00D30C01" w:rsidRPr="00D30C01">
        <w:rPr>
          <w:rFonts w:ascii="Open Sans" w:hAnsi="Open Sans" w:cs="Open Sans"/>
          <w:color w:val="595959" w:themeColor="text1" w:themeTint="A6"/>
          <w:sz w:val="20"/>
          <w:szCs w:val="20"/>
        </w:rPr>
        <w:t>palūkanos pirmą kartą nustatomos sutarties sudarymo dieną. Naudojama ta kintama palūkanų</w:t>
      </w:r>
      <w:r w:rsidR="00D30C01">
        <w:rPr>
          <w:rFonts w:ascii="Open Sans" w:hAnsi="Open Sans" w:cs="Open Sans"/>
          <w:color w:val="595959" w:themeColor="text1" w:themeTint="A6"/>
          <w:sz w:val="20"/>
          <w:szCs w:val="20"/>
        </w:rPr>
        <w:t xml:space="preserve"> </w:t>
      </w:r>
      <w:r w:rsidR="00D30C01" w:rsidRPr="00D30C01">
        <w:rPr>
          <w:rFonts w:ascii="Open Sans" w:hAnsi="Open Sans" w:cs="Open Sans"/>
          <w:color w:val="595959" w:themeColor="text1" w:themeTint="A6"/>
          <w:sz w:val="20"/>
          <w:szCs w:val="20"/>
        </w:rPr>
        <w:t>dalis, kuri galios paskutinę darbo dieną, ėjusią prieš sutarties sudarymą. Palūkanų keitimosi</w:t>
      </w:r>
      <w:r w:rsidR="00D30C01">
        <w:rPr>
          <w:rFonts w:ascii="Open Sans" w:hAnsi="Open Sans" w:cs="Open Sans"/>
          <w:color w:val="595959" w:themeColor="text1" w:themeTint="A6"/>
          <w:sz w:val="20"/>
          <w:szCs w:val="20"/>
        </w:rPr>
        <w:t xml:space="preserve"> </w:t>
      </w:r>
      <w:r w:rsidR="00D30C01" w:rsidRPr="00D30C01">
        <w:rPr>
          <w:rFonts w:ascii="Open Sans" w:hAnsi="Open Sans" w:cs="Open Sans"/>
          <w:color w:val="595959" w:themeColor="text1" w:themeTint="A6"/>
          <w:sz w:val="20"/>
          <w:szCs w:val="20"/>
        </w:rPr>
        <w:t>diena visada sutampa su mokėjimo diena.</w:t>
      </w:r>
      <w:r w:rsidR="00D30C01">
        <w:rPr>
          <w:rFonts w:ascii="Open Sans" w:hAnsi="Open Sans" w:cs="Open Sans"/>
          <w:color w:val="595959" w:themeColor="text1" w:themeTint="A6"/>
          <w:sz w:val="20"/>
          <w:szCs w:val="20"/>
        </w:rPr>
        <w:t xml:space="preserve"> </w:t>
      </w:r>
      <w:r w:rsidR="00D30C01" w:rsidRPr="00D30C01">
        <w:rPr>
          <w:rFonts w:ascii="Open Sans" w:hAnsi="Open Sans" w:cs="Open Sans"/>
          <w:color w:val="595959" w:themeColor="text1" w:themeTint="A6"/>
          <w:sz w:val="20"/>
          <w:szCs w:val="20"/>
        </w:rPr>
        <w:t>Kintama palūkanų dalis – palūkanų keitimo dieną Thomson Reuters ir/arba kitoje informacinėje</w:t>
      </w:r>
      <w:r w:rsidR="00D30C01">
        <w:rPr>
          <w:rFonts w:ascii="Open Sans" w:hAnsi="Open Sans" w:cs="Open Sans"/>
          <w:color w:val="595959" w:themeColor="text1" w:themeTint="A6"/>
          <w:sz w:val="20"/>
          <w:szCs w:val="20"/>
        </w:rPr>
        <w:t xml:space="preserve"> </w:t>
      </w:r>
      <w:r w:rsidR="00D30C01" w:rsidRPr="00D30C01">
        <w:rPr>
          <w:rFonts w:ascii="Open Sans" w:hAnsi="Open Sans" w:cs="Open Sans"/>
          <w:color w:val="595959" w:themeColor="text1" w:themeTint="A6"/>
          <w:sz w:val="20"/>
          <w:szCs w:val="20"/>
        </w:rPr>
        <w:t>bazėje paskelbta kintamų palūkanų dalis, išreikšta procentais.</w:t>
      </w:r>
      <w:r w:rsidR="00D30C01">
        <w:rPr>
          <w:rFonts w:ascii="Open Sans" w:hAnsi="Open Sans" w:cs="Open Sans"/>
          <w:color w:val="595959" w:themeColor="text1" w:themeTint="A6"/>
          <w:sz w:val="20"/>
          <w:szCs w:val="20"/>
        </w:rPr>
        <w:t xml:space="preserve"> </w:t>
      </w:r>
      <w:r w:rsidR="00D30C01" w:rsidRPr="00D30C01">
        <w:rPr>
          <w:rFonts w:ascii="Open Sans" w:hAnsi="Open Sans" w:cs="Open Sans"/>
          <w:color w:val="595959" w:themeColor="text1" w:themeTint="A6"/>
          <w:sz w:val="20"/>
          <w:szCs w:val="20"/>
        </w:rPr>
        <w:t>Marža – šalių sutarta Unijos skolinimosi rizikos, pelno ir sąnaudų marža procentais, nustatoma</w:t>
      </w:r>
      <w:r w:rsidR="00D30C01">
        <w:rPr>
          <w:rFonts w:ascii="Open Sans" w:hAnsi="Open Sans" w:cs="Open Sans"/>
          <w:color w:val="595959" w:themeColor="text1" w:themeTint="A6"/>
          <w:sz w:val="20"/>
          <w:szCs w:val="20"/>
        </w:rPr>
        <w:t xml:space="preserve"> </w:t>
      </w:r>
      <w:r w:rsidR="00D30C01" w:rsidRPr="00D30C01">
        <w:rPr>
          <w:rFonts w:ascii="Open Sans" w:hAnsi="Open Sans" w:cs="Open Sans"/>
          <w:color w:val="595959" w:themeColor="text1" w:themeTint="A6"/>
          <w:sz w:val="20"/>
          <w:szCs w:val="20"/>
        </w:rPr>
        <w:t>sutarties sudarymo dieną ir galiojanti iki visų prievolių įvykdymo datos.</w:t>
      </w:r>
      <w:r w:rsidR="006B7BCD">
        <w:rPr>
          <w:rFonts w:ascii="Open Sans" w:hAnsi="Open Sans" w:cs="Open Sans"/>
          <w:color w:val="595959" w:themeColor="text1" w:themeTint="A6"/>
          <w:sz w:val="20"/>
          <w:szCs w:val="20"/>
        </w:rPr>
        <w:t xml:space="preserve"> Palūkanų keitimo data turi sutapti su mokėjimo data (įmokos data).</w:t>
      </w:r>
    </w:p>
    <w:p w14:paraId="5A9BF6E9" w14:textId="77777777" w:rsidR="00C07B61" w:rsidRPr="00C07B61" w:rsidRDefault="00C07B61" w:rsidP="00C07B61">
      <w:pPr>
        <w:spacing w:after="0" w:line="240" w:lineRule="auto"/>
        <w:jc w:val="both"/>
        <w:rPr>
          <w:rFonts w:ascii="Open Sans" w:hAnsi="Open Sans" w:cs="Open Sans"/>
          <w:color w:val="595959" w:themeColor="text1" w:themeTint="A6"/>
          <w:sz w:val="20"/>
          <w:szCs w:val="20"/>
        </w:rPr>
      </w:pPr>
      <w:r w:rsidRPr="00C07B61">
        <w:rPr>
          <w:rFonts w:ascii="Open Sans" w:hAnsi="Open Sans" w:cs="Open Sans"/>
          <w:color w:val="595959" w:themeColor="text1" w:themeTint="A6"/>
          <w:sz w:val="20"/>
          <w:szCs w:val="20"/>
        </w:rPr>
        <w:t>Kintamos palūkanų bazės pasirinkimas (3/6/12 mėn.) gali įtakoti bendrą mokamų palūkanų dydį, kuris gali mažėti ar didėti priklausomai nuo palūkanų bazės pokyčio. Pasirinkus kintamą palūkanų normą rekomenduojama įvertinti tai, kad palūkanų pokytis visu kredito sutarties laikotarpiu, dėl kintamos dalies padidėjimo, gali ženkliai padidinti ir kiekvieną mėnesį mokamą palūkanų dalį.</w:t>
      </w:r>
    </w:p>
    <w:p w14:paraId="17104F08" w14:textId="620BC612" w:rsidR="00C07B61" w:rsidRDefault="00771866" w:rsidP="00C07B61">
      <w:pPr>
        <w:spacing w:after="0" w:line="240" w:lineRule="auto"/>
        <w:jc w:val="both"/>
        <w:rPr>
          <w:rFonts w:ascii="Open Sans" w:hAnsi="Open Sans" w:cs="Open Sans"/>
          <w:color w:val="595959" w:themeColor="text1" w:themeTint="A6"/>
          <w:sz w:val="20"/>
          <w:szCs w:val="20"/>
        </w:rPr>
      </w:pPr>
      <w:r w:rsidRPr="00D30C01">
        <w:rPr>
          <w:rFonts w:ascii="Open Sans" w:hAnsi="Open Sans" w:cs="Open Sans"/>
          <w:color w:val="595959" w:themeColor="text1" w:themeTint="A6"/>
          <w:sz w:val="20"/>
          <w:szCs w:val="20"/>
          <w:u w:val="single"/>
        </w:rPr>
        <w:t xml:space="preserve">Fiksuota </w:t>
      </w:r>
      <w:r w:rsidR="00435C16">
        <w:rPr>
          <w:rFonts w:ascii="Open Sans" w:hAnsi="Open Sans" w:cs="Open Sans"/>
          <w:color w:val="595959" w:themeColor="text1" w:themeTint="A6"/>
          <w:sz w:val="20"/>
          <w:szCs w:val="20"/>
          <w:u w:val="single"/>
        </w:rPr>
        <w:t>kreditų</w:t>
      </w:r>
      <w:r w:rsidRPr="00D30C01">
        <w:rPr>
          <w:rFonts w:ascii="Open Sans" w:hAnsi="Open Sans" w:cs="Open Sans"/>
          <w:color w:val="595959" w:themeColor="text1" w:themeTint="A6"/>
          <w:sz w:val="20"/>
          <w:szCs w:val="20"/>
          <w:u w:val="single"/>
        </w:rPr>
        <w:t xml:space="preserve"> palūkanų norma</w:t>
      </w:r>
      <w:r w:rsidRPr="00771866">
        <w:rPr>
          <w:rFonts w:ascii="Open Sans" w:hAnsi="Open Sans" w:cs="Open Sans"/>
          <w:color w:val="595959" w:themeColor="text1" w:themeTint="A6"/>
          <w:sz w:val="20"/>
          <w:szCs w:val="20"/>
        </w:rPr>
        <w:t xml:space="preserve"> taikoma ne ilgesniam kaip 3 metų laikotarpiui</w:t>
      </w:r>
      <w:r w:rsidR="00E9038E">
        <w:rPr>
          <w:rFonts w:ascii="Open Sans" w:hAnsi="Open Sans" w:cs="Open Sans"/>
          <w:color w:val="595959" w:themeColor="text1" w:themeTint="A6"/>
          <w:sz w:val="20"/>
          <w:szCs w:val="20"/>
        </w:rPr>
        <w:t xml:space="preserve"> ir</w:t>
      </w:r>
      <w:r w:rsidR="00AE3C1E">
        <w:rPr>
          <w:rFonts w:ascii="Open Sans" w:hAnsi="Open Sans" w:cs="Open Sans"/>
          <w:color w:val="595959" w:themeColor="text1" w:themeTint="A6"/>
          <w:sz w:val="20"/>
          <w:szCs w:val="20"/>
        </w:rPr>
        <w:t xml:space="preserve"> tokiu atveju</w:t>
      </w:r>
      <w:r w:rsidR="00E9038E">
        <w:rPr>
          <w:rFonts w:ascii="Open Sans" w:hAnsi="Open Sans" w:cs="Open Sans"/>
          <w:color w:val="595959" w:themeColor="text1" w:themeTint="A6"/>
          <w:sz w:val="20"/>
          <w:szCs w:val="20"/>
        </w:rPr>
        <w:t xml:space="preserve"> kredito terminas negali būti ilgesnis nei 3 metai. </w:t>
      </w:r>
      <w:r w:rsidR="006B7BCD">
        <w:rPr>
          <w:rFonts w:ascii="Open Sans" w:hAnsi="Open Sans" w:cs="Open Sans"/>
          <w:color w:val="595959" w:themeColor="text1" w:themeTint="A6"/>
          <w:sz w:val="20"/>
          <w:szCs w:val="20"/>
        </w:rPr>
        <w:t xml:space="preserve"> </w:t>
      </w:r>
      <w:r w:rsidR="00E9038E" w:rsidRPr="00E9038E">
        <w:rPr>
          <w:rFonts w:ascii="Open Sans" w:hAnsi="Open Sans" w:cs="Open Sans"/>
          <w:color w:val="595959" w:themeColor="text1" w:themeTint="A6"/>
          <w:sz w:val="20"/>
          <w:szCs w:val="20"/>
        </w:rPr>
        <w:t>Fiksuota kreditų palūkanų norma</w:t>
      </w:r>
      <w:r w:rsidR="00E9038E">
        <w:rPr>
          <w:rFonts w:ascii="Open Sans" w:hAnsi="Open Sans" w:cs="Open Sans"/>
          <w:color w:val="595959" w:themeColor="text1" w:themeTint="A6"/>
          <w:sz w:val="20"/>
          <w:szCs w:val="20"/>
        </w:rPr>
        <w:t xml:space="preserve"> </w:t>
      </w:r>
      <w:r w:rsidR="006B7BCD">
        <w:rPr>
          <w:rFonts w:ascii="Open Sans" w:hAnsi="Open Sans" w:cs="Open Sans"/>
          <w:color w:val="595959" w:themeColor="text1" w:themeTint="A6"/>
          <w:sz w:val="20"/>
          <w:szCs w:val="20"/>
        </w:rPr>
        <w:t>nėra keičiama visą kredito sutarties galiojimo laikotarpį</w:t>
      </w:r>
      <w:r w:rsidR="00874922" w:rsidRPr="00874922">
        <w:rPr>
          <w:rFonts w:ascii="Open Sans" w:hAnsi="Open Sans" w:cs="Open Sans"/>
          <w:color w:val="595959" w:themeColor="text1" w:themeTint="A6"/>
          <w:sz w:val="20"/>
          <w:szCs w:val="20"/>
        </w:rPr>
        <w:t>.</w:t>
      </w:r>
      <w:r w:rsidR="006B7BCD">
        <w:rPr>
          <w:rFonts w:ascii="Open Sans" w:hAnsi="Open Sans" w:cs="Open Sans"/>
          <w:color w:val="595959" w:themeColor="text1" w:themeTint="A6"/>
          <w:sz w:val="20"/>
          <w:szCs w:val="20"/>
        </w:rPr>
        <w:t xml:space="preserve"> </w:t>
      </w:r>
      <w:r w:rsidR="00D74CD0">
        <w:rPr>
          <w:rFonts w:ascii="Open Sans" w:hAnsi="Open Sans" w:cs="Open Sans"/>
          <w:color w:val="595959" w:themeColor="text1" w:themeTint="A6"/>
          <w:sz w:val="20"/>
          <w:szCs w:val="20"/>
        </w:rPr>
        <w:t xml:space="preserve"> </w:t>
      </w:r>
      <w:r w:rsidR="00C07B61" w:rsidRPr="00C07B61">
        <w:rPr>
          <w:rFonts w:ascii="Open Sans" w:hAnsi="Open Sans" w:cs="Open Sans"/>
          <w:color w:val="595959" w:themeColor="text1" w:themeTint="A6"/>
          <w:sz w:val="20"/>
          <w:szCs w:val="20"/>
        </w:rPr>
        <w:t xml:space="preserve">Pasirinkus fiksuotą </w:t>
      </w:r>
      <w:r w:rsidR="00C07B61">
        <w:rPr>
          <w:rFonts w:ascii="Open Sans" w:hAnsi="Open Sans" w:cs="Open Sans"/>
          <w:color w:val="595959" w:themeColor="text1" w:themeTint="A6"/>
          <w:sz w:val="20"/>
          <w:szCs w:val="20"/>
        </w:rPr>
        <w:t xml:space="preserve">kredito </w:t>
      </w:r>
      <w:r w:rsidR="00C07B61" w:rsidRPr="00C07B61">
        <w:rPr>
          <w:rFonts w:ascii="Open Sans" w:hAnsi="Open Sans" w:cs="Open Sans"/>
          <w:color w:val="595959" w:themeColor="text1" w:themeTint="A6"/>
          <w:sz w:val="20"/>
          <w:szCs w:val="20"/>
        </w:rPr>
        <w:t>palūkanų normą j</w:t>
      </w:r>
      <w:r w:rsidR="00AE3C1E">
        <w:rPr>
          <w:rFonts w:ascii="Open Sans" w:hAnsi="Open Sans" w:cs="Open Sans"/>
          <w:color w:val="595959" w:themeColor="text1" w:themeTint="A6"/>
          <w:sz w:val="20"/>
          <w:szCs w:val="20"/>
        </w:rPr>
        <w:t>os</w:t>
      </w:r>
      <w:r w:rsidR="00C07B61" w:rsidRPr="00C07B61">
        <w:rPr>
          <w:rFonts w:ascii="Open Sans" w:hAnsi="Open Sans" w:cs="Open Sans"/>
          <w:color w:val="595959" w:themeColor="text1" w:themeTint="A6"/>
          <w:sz w:val="20"/>
          <w:szCs w:val="20"/>
        </w:rPr>
        <w:t xml:space="preserve"> galiojimo laik</w:t>
      </w:r>
      <w:r w:rsidR="00C07B61">
        <w:rPr>
          <w:rFonts w:ascii="Open Sans" w:hAnsi="Open Sans" w:cs="Open Sans"/>
          <w:color w:val="595959" w:themeColor="text1" w:themeTint="A6"/>
          <w:sz w:val="20"/>
          <w:szCs w:val="20"/>
        </w:rPr>
        <w:t>o</w:t>
      </w:r>
      <w:r w:rsidR="00C07B61" w:rsidRPr="00C07B61">
        <w:rPr>
          <w:rFonts w:ascii="Open Sans" w:hAnsi="Open Sans" w:cs="Open Sans"/>
          <w:color w:val="595959" w:themeColor="text1" w:themeTint="A6"/>
          <w:sz w:val="20"/>
          <w:szCs w:val="20"/>
        </w:rPr>
        <w:t>tarpiu kredito mėnesio įmoka nesikeis</w:t>
      </w:r>
      <w:r w:rsidR="00AE3C1E">
        <w:rPr>
          <w:rFonts w:ascii="Open Sans" w:hAnsi="Open Sans" w:cs="Open Sans"/>
          <w:color w:val="595959" w:themeColor="text1" w:themeTint="A6"/>
          <w:sz w:val="20"/>
          <w:szCs w:val="20"/>
        </w:rPr>
        <w:t>, t</w:t>
      </w:r>
      <w:r w:rsidR="00C07B61" w:rsidRPr="00C07B61">
        <w:rPr>
          <w:rFonts w:ascii="Open Sans" w:hAnsi="Open Sans" w:cs="Open Sans"/>
          <w:color w:val="595959" w:themeColor="text1" w:themeTint="A6"/>
          <w:sz w:val="20"/>
          <w:szCs w:val="20"/>
        </w:rPr>
        <w:t xml:space="preserve">ačiau rekomenduojame įvertinti tai, kad </w:t>
      </w:r>
      <w:r w:rsidR="00C07B61">
        <w:rPr>
          <w:rFonts w:ascii="Open Sans" w:hAnsi="Open Sans" w:cs="Open Sans"/>
          <w:color w:val="595959" w:themeColor="text1" w:themeTint="A6"/>
          <w:sz w:val="20"/>
          <w:szCs w:val="20"/>
        </w:rPr>
        <w:t>fik</w:t>
      </w:r>
      <w:r w:rsidR="00C07B61" w:rsidRPr="00C07B61">
        <w:rPr>
          <w:rFonts w:ascii="Open Sans" w:hAnsi="Open Sans" w:cs="Open Sans"/>
          <w:color w:val="595959" w:themeColor="text1" w:themeTint="A6"/>
          <w:sz w:val="20"/>
          <w:szCs w:val="20"/>
        </w:rPr>
        <w:t>suotų palūkanų norma</w:t>
      </w:r>
      <w:r w:rsidR="00C07B61">
        <w:rPr>
          <w:rFonts w:ascii="Open Sans" w:hAnsi="Open Sans" w:cs="Open Sans"/>
          <w:color w:val="595959" w:themeColor="text1" w:themeTint="A6"/>
          <w:sz w:val="20"/>
          <w:szCs w:val="20"/>
        </w:rPr>
        <w:t xml:space="preserve"> </w:t>
      </w:r>
      <w:r w:rsidR="00C07B61" w:rsidRPr="00C07B61">
        <w:rPr>
          <w:rFonts w:ascii="Open Sans" w:hAnsi="Open Sans" w:cs="Open Sans"/>
          <w:color w:val="595959" w:themeColor="text1" w:themeTint="A6"/>
          <w:sz w:val="20"/>
          <w:szCs w:val="20"/>
        </w:rPr>
        <w:t xml:space="preserve"> yra didesnė nei tuo metu taikytina kintama palūkanų norma.</w:t>
      </w:r>
    </w:p>
    <w:p w14:paraId="663B96AD" w14:textId="77777777" w:rsidR="00C07B61" w:rsidRPr="00771866" w:rsidRDefault="00C07B61" w:rsidP="007179E8">
      <w:pPr>
        <w:spacing w:after="0" w:line="240" w:lineRule="auto"/>
        <w:rPr>
          <w:rFonts w:ascii="Open Sans" w:hAnsi="Open Sans" w:cs="Open Sans"/>
          <w:color w:val="595959" w:themeColor="text1" w:themeTint="A6"/>
          <w:sz w:val="20"/>
          <w:szCs w:val="20"/>
        </w:rPr>
      </w:pPr>
    </w:p>
    <w:p w14:paraId="0F4A75B4" w14:textId="3F6F86F2" w:rsidR="007179E8" w:rsidRPr="00E00237" w:rsidRDefault="000132EE" w:rsidP="00E00237">
      <w:pPr>
        <w:spacing w:after="0" w:line="240" w:lineRule="auto"/>
        <w:jc w:val="both"/>
        <w:rPr>
          <w:rFonts w:ascii="Open Sans" w:hAnsi="Open Sans" w:cs="Open Sans"/>
          <w:color w:val="595959" w:themeColor="text1" w:themeTint="A6"/>
          <w:sz w:val="20"/>
          <w:szCs w:val="20"/>
        </w:rPr>
      </w:pPr>
      <w:r w:rsidRPr="000132EE">
        <w:rPr>
          <w:rFonts w:ascii="Open Sans" w:hAnsi="Open Sans" w:cs="Open Sans"/>
          <w:b/>
          <w:bCs/>
          <w:color w:val="595959" w:themeColor="text1" w:themeTint="A6"/>
          <w:sz w:val="20"/>
          <w:szCs w:val="20"/>
        </w:rPr>
        <w:t>Kredito</w:t>
      </w:r>
      <w:r w:rsidR="007179E8" w:rsidRPr="000132EE">
        <w:rPr>
          <w:rFonts w:ascii="Open Sans" w:hAnsi="Open Sans" w:cs="Open Sans"/>
          <w:b/>
          <w:bCs/>
          <w:color w:val="595959" w:themeColor="text1" w:themeTint="A6"/>
          <w:sz w:val="20"/>
          <w:szCs w:val="20"/>
        </w:rPr>
        <w:t xml:space="preserve"> valiut</w:t>
      </w:r>
      <w:r w:rsidRPr="000132EE">
        <w:rPr>
          <w:rFonts w:ascii="Open Sans" w:hAnsi="Open Sans" w:cs="Open Sans"/>
          <w:b/>
          <w:bCs/>
          <w:color w:val="595959" w:themeColor="text1" w:themeTint="A6"/>
          <w:sz w:val="20"/>
          <w:szCs w:val="20"/>
        </w:rPr>
        <w:t xml:space="preserve">a </w:t>
      </w:r>
      <w:r w:rsidR="00E00237">
        <w:rPr>
          <w:rFonts w:ascii="Open Sans" w:hAnsi="Open Sans" w:cs="Open Sans"/>
          <w:b/>
          <w:bCs/>
          <w:color w:val="595959" w:themeColor="text1" w:themeTint="A6"/>
          <w:sz w:val="20"/>
          <w:szCs w:val="20"/>
        </w:rPr>
        <w:t>–</w:t>
      </w:r>
      <w:r>
        <w:rPr>
          <w:rFonts w:ascii="Open Sans" w:hAnsi="Open Sans" w:cs="Open Sans"/>
          <w:b/>
          <w:bCs/>
          <w:color w:val="595959" w:themeColor="text1" w:themeTint="A6"/>
          <w:sz w:val="20"/>
          <w:szCs w:val="20"/>
        </w:rPr>
        <w:t xml:space="preserve"> </w:t>
      </w:r>
      <w:r w:rsidR="00E00237">
        <w:rPr>
          <w:rFonts w:ascii="Open Sans" w:hAnsi="Open Sans" w:cs="Open Sans"/>
          <w:color w:val="595959" w:themeColor="text1" w:themeTint="A6"/>
          <w:sz w:val="20"/>
          <w:szCs w:val="20"/>
        </w:rPr>
        <w:t>kreditas yra suteikiamas</w:t>
      </w:r>
      <w:r w:rsidR="007412ED">
        <w:rPr>
          <w:rFonts w:ascii="Open Sans" w:hAnsi="Open Sans" w:cs="Open Sans"/>
          <w:color w:val="595959" w:themeColor="text1" w:themeTint="A6"/>
          <w:sz w:val="20"/>
          <w:szCs w:val="20"/>
        </w:rPr>
        <w:t xml:space="preserve"> tik</w:t>
      </w:r>
      <w:r w:rsidR="00E00237">
        <w:rPr>
          <w:rFonts w:ascii="Open Sans" w:hAnsi="Open Sans" w:cs="Open Sans"/>
          <w:color w:val="595959" w:themeColor="text1" w:themeTint="A6"/>
          <w:sz w:val="20"/>
          <w:szCs w:val="20"/>
        </w:rPr>
        <w:t xml:space="preserve"> eurais. </w:t>
      </w:r>
      <w:r w:rsidR="00E00237" w:rsidRPr="00E00237">
        <w:rPr>
          <w:rFonts w:ascii="Open Sans" w:hAnsi="Open Sans" w:cs="Open Sans"/>
          <w:color w:val="595959" w:themeColor="text1" w:themeTint="A6"/>
          <w:sz w:val="20"/>
          <w:szCs w:val="20"/>
        </w:rPr>
        <w:t xml:space="preserve">Kreditas užsienio valiuta – tai kreditas </w:t>
      </w:r>
      <w:r w:rsidR="002F4B59">
        <w:rPr>
          <w:rFonts w:ascii="Open Sans" w:hAnsi="Open Sans" w:cs="Open Sans"/>
          <w:color w:val="595959" w:themeColor="text1" w:themeTint="A6"/>
          <w:sz w:val="20"/>
          <w:szCs w:val="20"/>
        </w:rPr>
        <w:t xml:space="preserve">susijęs </w:t>
      </w:r>
      <w:r w:rsidR="00E00237" w:rsidRPr="00E00237">
        <w:rPr>
          <w:rFonts w:ascii="Open Sans" w:hAnsi="Open Sans" w:cs="Open Sans"/>
          <w:color w:val="595959" w:themeColor="text1" w:themeTint="A6"/>
          <w:sz w:val="20"/>
          <w:szCs w:val="20"/>
        </w:rPr>
        <w:t>su NT išreikštas kita valiuta nei kredito gavėjo gaunamų pajamų valiuta arba valstybės narės, kurioje kredito gavėjas nuolat gyvena, valiuta.</w:t>
      </w:r>
      <w:r w:rsidR="00E00237">
        <w:rPr>
          <w:rFonts w:ascii="Open Sans" w:hAnsi="Open Sans" w:cs="Open Sans"/>
          <w:color w:val="595959" w:themeColor="text1" w:themeTint="A6"/>
          <w:sz w:val="20"/>
          <w:szCs w:val="20"/>
        </w:rPr>
        <w:t xml:space="preserve"> </w:t>
      </w:r>
      <w:r w:rsidR="00E00237" w:rsidRPr="00E00237">
        <w:rPr>
          <w:rFonts w:ascii="Open Sans" w:hAnsi="Open Sans" w:cs="Open Sans"/>
          <w:color w:val="595959" w:themeColor="text1" w:themeTint="A6"/>
          <w:sz w:val="20"/>
          <w:szCs w:val="20"/>
        </w:rPr>
        <w:t>Kreditas susijęs su NT užsienio valiuta gali būti teikiamas, kai kredito gavėjo gaunamų pajamų ar šalies, kurioje nuolat gyvena, valiuta yra SEK, DKK, PLN, GBP, USD, NOK.</w:t>
      </w:r>
      <w:r w:rsidR="00E00237">
        <w:rPr>
          <w:rFonts w:ascii="Open Sans" w:hAnsi="Open Sans" w:cs="Open Sans"/>
          <w:color w:val="595959" w:themeColor="text1" w:themeTint="A6"/>
          <w:sz w:val="20"/>
          <w:szCs w:val="20"/>
        </w:rPr>
        <w:t xml:space="preserve"> </w:t>
      </w:r>
      <w:r w:rsidR="00E00237" w:rsidRPr="00E00237">
        <w:rPr>
          <w:rFonts w:ascii="Open Sans" w:hAnsi="Open Sans" w:cs="Open Sans"/>
          <w:color w:val="595959" w:themeColor="text1" w:themeTint="A6"/>
          <w:sz w:val="20"/>
          <w:szCs w:val="20"/>
        </w:rPr>
        <w:t xml:space="preserve">Kai yra sudaryta Kredito užsienio valiuta sutartis, </w:t>
      </w:r>
      <w:r w:rsidR="007A2586">
        <w:rPr>
          <w:rFonts w:ascii="Open Sans" w:hAnsi="Open Sans" w:cs="Open Sans"/>
          <w:color w:val="595959" w:themeColor="text1" w:themeTint="A6"/>
          <w:sz w:val="20"/>
          <w:szCs w:val="20"/>
        </w:rPr>
        <w:t>k</w:t>
      </w:r>
      <w:r w:rsidR="00E00237" w:rsidRPr="00E00237">
        <w:rPr>
          <w:rFonts w:ascii="Open Sans" w:hAnsi="Open Sans" w:cs="Open Sans"/>
          <w:color w:val="595959" w:themeColor="text1" w:themeTint="A6"/>
          <w:sz w:val="20"/>
          <w:szCs w:val="20"/>
        </w:rPr>
        <w:t xml:space="preserve">redito unija raštu popieriuje ir/arba kitoje patvarioje laikmenoje ne rečiau kaip kartą per metus informuoja kredito gavėją apie užsienio valiutos kurso svyravimo riziką ir pateikia nuorodą į interneto svetainę, kurioje kredito gavėjas gali susipažinti su </w:t>
      </w:r>
      <w:r w:rsidR="007A2586">
        <w:rPr>
          <w:rFonts w:ascii="Open Sans" w:hAnsi="Open Sans" w:cs="Open Sans"/>
          <w:color w:val="595959" w:themeColor="text1" w:themeTint="A6"/>
          <w:sz w:val="20"/>
          <w:szCs w:val="20"/>
        </w:rPr>
        <w:t>k</w:t>
      </w:r>
      <w:r w:rsidR="00E00237" w:rsidRPr="00E00237">
        <w:rPr>
          <w:rFonts w:ascii="Open Sans" w:hAnsi="Open Sans" w:cs="Open Sans"/>
          <w:color w:val="595959" w:themeColor="text1" w:themeTint="A6"/>
          <w:sz w:val="20"/>
          <w:szCs w:val="20"/>
        </w:rPr>
        <w:t>redito sutarties valiutos ir valiutos, kuria kredito gavėjas gauna pajamas, kurso kaita</w:t>
      </w:r>
      <w:r w:rsidR="00E00237">
        <w:rPr>
          <w:rFonts w:ascii="Open Sans" w:hAnsi="Open Sans" w:cs="Open Sans"/>
          <w:color w:val="595959" w:themeColor="text1" w:themeTint="A6"/>
          <w:sz w:val="20"/>
          <w:szCs w:val="20"/>
        </w:rPr>
        <w:t>.</w:t>
      </w:r>
      <w:r w:rsidR="007C5B10">
        <w:rPr>
          <w:rFonts w:ascii="Open Sans" w:hAnsi="Open Sans" w:cs="Open Sans"/>
          <w:color w:val="595959" w:themeColor="text1" w:themeTint="A6"/>
          <w:sz w:val="20"/>
          <w:szCs w:val="20"/>
        </w:rPr>
        <w:t xml:space="preserve"> </w:t>
      </w:r>
      <w:r w:rsidR="007C5B10" w:rsidRPr="007C5B10">
        <w:rPr>
          <w:rFonts w:ascii="Open Sans" w:hAnsi="Open Sans" w:cs="Open Sans"/>
          <w:color w:val="595959" w:themeColor="text1" w:themeTint="A6"/>
          <w:sz w:val="20"/>
          <w:szCs w:val="20"/>
        </w:rPr>
        <w:t xml:space="preserve">Kai yra sudaryta </w:t>
      </w:r>
      <w:r w:rsidR="007A2586">
        <w:rPr>
          <w:rFonts w:ascii="Open Sans" w:hAnsi="Open Sans" w:cs="Open Sans"/>
          <w:color w:val="595959" w:themeColor="text1" w:themeTint="A6"/>
          <w:sz w:val="20"/>
          <w:szCs w:val="20"/>
        </w:rPr>
        <w:t>k</w:t>
      </w:r>
      <w:r w:rsidR="007C5B10" w:rsidRPr="007C5B10">
        <w:rPr>
          <w:rFonts w:ascii="Open Sans" w:hAnsi="Open Sans" w:cs="Open Sans"/>
          <w:color w:val="595959" w:themeColor="text1" w:themeTint="A6"/>
          <w:sz w:val="20"/>
          <w:szCs w:val="20"/>
        </w:rPr>
        <w:t xml:space="preserve">redito užsienio valiuta sutartis, </w:t>
      </w:r>
      <w:r w:rsidR="007A2586">
        <w:rPr>
          <w:rFonts w:ascii="Open Sans" w:hAnsi="Open Sans" w:cs="Open Sans"/>
          <w:color w:val="595959" w:themeColor="text1" w:themeTint="A6"/>
          <w:sz w:val="20"/>
          <w:szCs w:val="20"/>
        </w:rPr>
        <w:t>k</w:t>
      </w:r>
      <w:r w:rsidR="007C5B10" w:rsidRPr="007C5B10">
        <w:rPr>
          <w:rFonts w:ascii="Open Sans" w:hAnsi="Open Sans" w:cs="Open Sans"/>
          <w:color w:val="595959" w:themeColor="text1" w:themeTint="A6"/>
          <w:sz w:val="20"/>
          <w:szCs w:val="20"/>
        </w:rPr>
        <w:t xml:space="preserve">redito gavėjas prisiima visą riziką ir atsakomybę dėl valiutos kurso svyravimo rizikos ir tai gali turėti įtakos </w:t>
      </w:r>
      <w:r w:rsidR="007A2586">
        <w:rPr>
          <w:rFonts w:ascii="Open Sans" w:hAnsi="Open Sans" w:cs="Open Sans"/>
          <w:color w:val="595959" w:themeColor="text1" w:themeTint="A6"/>
          <w:sz w:val="20"/>
          <w:szCs w:val="20"/>
        </w:rPr>
        <w:t>k</w:t>
      </w:r>
      <w:r w:rsidR="007C5B10" w:rsidRPr="007C5B10">
        <w:rPr>
          <w:rFonts w:ascii="Open Sans" w:hAnsi="Open Sans" w:cs="Open Sans"/>
          <w:color w:val="595959" w:themeColor="text1" w:themeTint="A6"/>
          <w:sz w:val="20"/>
          <w:szCs w:val="20"/>
        </w:rPr>
        <w:t>redito gavėjo mokamai sumai</w:t>
      </w:r>
    </w:p>
    <w:p w14:paraId="775CFCE6" w14:textId="77777777" w:rsidR="000132EE" w:rsidRPr="00E00237" w:rsidRDefault="000132EE" w:rsidP="007179E8">
      <w:pPr>
        <w:spacing w:after="0" w:line="240" w:lineRule="auto"/>
        <w:rPr>
          <w:rFonts w:ascii="Open Sans" w:hAnsi="Open Sans" w:cs="Open Sans"/>
          <w:color w:val="595959" w:themeColor="text1" w:themeTint="A6"/>
          <w:sz w:val="20"/>
          <w:szCs w:val="20"/>
        </w:rPr>
      </w:pPr>
    </w:p>
    <w:p w14:paraId="4D096220" w14:textId="2FB72FA2" w:rsidR="00182BBB" w:rsidRDefault="00182BBB" w:rsidP="008160F0">
      <w:pPr>
        <w:spacing w:after="0" w:line="240" w:lineRule="auto"/>
        <w:jc w:val="both"/>
        <w:rPr>
          <w:rFonts w:ascii="Open Sans" w:hAnsi="Open Sans" w:cs="Open Sans"/>
          <w:color w:val="595959" w:themeColor="text1" w:themeTint="A6"/>
          <w:sz w:val="20"/>
          <w:szCs w:val="20"/>
        </w:rPr>
      </w:pPr>
      <w:r w:rsidRPr="00182BBB">
        <w:rPr>
          <w:rFonts w:ascii="Open Sans" w:hAnsi="Open Sans" w:cs="Open Sans"/>
          <w:b/>
          <w:bCs/>
          <w:color w:val="595959" w:themeColor="text1" w:themeTint="A6"/>
          <w:sz w:val="20"/>
          <w:szCs w:val="20"/>
        </w:rPr>
        <w:t>B</w:t>
      </w:r>
      <w:r w:rsidR="007179E8" w:rsidRPr="00182BBB">
        <w:rPr>
          <w:rFonts w:ascii="Open Sans" w:hAnsi="Open Sans" w:cs="Open Sans"/>
          <w:b/>
          <w:bCs/>
          <w:color w:val="595959" w:themeColor="text1" w:themeTint="A6"/>
          <w:sz w:val="20"/>
          <w:szCs w:val="20"/>
        </w:rPr>
        <w:t>endros kredito sumos, bendros kredito kainos, bendros kredito gavėjo mokamos sumos ir bendros kredito kainos metinės normos tipinis pavyzdys</w:t>
      </w:r>
      <w:r w:rsidR="00AB1F74">
        <w:rPr>
          <w:rFonts w:ascii="Open Sans" w:hAnsi="Open Sans" w:cs="Open Sans"/>
          <w:b/>
          <w:bCs/>
          <w:color w:val="595959" w:themeColor="text1" w:themeTint="A6"/>
          <w:sz w:val="20"/>
          <w:szCs w:val="20"/>
        </w:rPr>
        <w:t xml:space="preserve"> - </w:t>
      </w:r>
      <w:r w:rsidR="00AB1F74" w:rsidRPr="00AB1F74">
        <w:rPr>
          <w:rFonts w:ascii="Open Sans" w:hAnsi="Open Sans" w:cs="Open Sans"/>
          <w:color w:val="595959" w:themeColor="text1" w:themeTint="A6"/>
          <w:sz w:val="20"/>
          <w:szCs w:val="20"/>
        </w:rPr>
        <w:t>b</w:t>
      </w:r>
      <w:r w:rsidR="006C4A72" w:rsidRPr="006C4A72">
        <w:rPr>
          <w:rFonts w:ascii="Open Sans" w:hAnsi="Open Sans" w:cs="Open Sans"/>
          <w:color w:val="595959" w:themeColor="text1" w:themeTint="A6"/>
          <w:sz w:val="20"/>
          <w:szCs w:val="20"/>
        </w:rPr>
        <w:t>endros kredito kainos metinė norma (toliau – BKKMN) yra bendra kredito kaina, išreikšta</w:t>
      </w:r>
      <w:r w:rsidR="006C4A72">
        <w:rPr>
          <w:rFonts w:ascii="Open Sans" w:hAnsi="Open Sans" w:cs="Open Sans"/>
          <w:color w:val="595959" w:themeColor="text1" w:themeTint="A6"/>
          <w:sz w:val="20"/>
          <w:szCs w:val="20"/>
        </w:rPr>
        <w:t xml:space="preserve"> </w:t>
      </w:r>
      <w:r w:rsidR="006C4A72" w:rsidRPr="006C4A72">
        <w:rPr>
          <w:rFonts w:ascii="Open Sans" w:hAnsi="Open Sans" w:cs="Open Sans"/>
          <w:color w:val="595959" w:themeColor="text1" w:themeTint="A6"/>
          <w:sz w:val="20"/>
          <w:szCs w:val="20"/>
        </w:rPr>
        <w:t>metiniu procentiniu dydžiu. BKKMN nurodoma, kad</w:t>
      </w:r>
      <w:r w:rsidR="001E1619">
        <w:rPr>
          <w:rFonts w:ascii="Open Sans" w:hAnsi="Open Sans" w:cs="Open Sans"/>
          <w:color w:val="595959" w:themeColor="text1" w:themeTint="A6"/>
          <w:sz w:val="20"/>
          <w:szCs w:val="20"/>
        </w:rPr>
        <w:t xml:space="preserve"> būtų</w:t>
      </w:r>
      <w:r w:rsidR="006C4A72" w:rsidRPr="006C4A72">
        <w:rPr>
          <w:rFonts w:ascii="Open Sans" w:hAnsi="Open Sans" w:cs="Open Sans"/>
          <w:color w:val="595959" w:themeColor="text1" w:themeTint="A6"/>
          <w:sz w:val="20"/>
          <w:szCs w:val="20"/>
        </w:rPr>
        <w:t xml:space="preserve"> lengviau palyginti skirtingus</w:t>
      </w:r>
      <w:r w:rsidR="006C4A72">
        <w:rPr>
          <w:rFonts w:ascii="Open Sans" w:hAnsi="Open Sans" w:cs="Open Sans"/>
          <w:color w:val="595959" w:themeColor="text1" w:themeTint="A6"/>
          <w:sz w:val="20"/>
          <w:szCs w:val="20"/>
        </w:rPr>
        <w:t xml:space="preserve"> </w:t>
      </w:r>
      <w:r w:rsidR="006C4A72" w:rsidRPr="006C4A72">
        <w:rPr>
          <w:rFonts w:ascii="Open Sans" w:hAnsi="Open Sans" w:cs="Open Sans"/>
          <w:color w:val="595959" w:themeColor="text1" w:themeTint="A6"/>
          <w:sz w:val="20"/>
          <w:szCs w:val="20"/>
        </w:rPr>
        <w:t>pasiūlymus.</w:t>
      </w:r>
      <w:r w:rsidR="004716E2">
        <w:rPr>
          <w:rFonts w:ascii="Open Sans" w:hAnsi="Open Sans" w:cs="Open Sans"/>
          <w:color w:val="595959" w:themeColor="text1" w:themeTint="A6"/>
          <w:sz w:val="20"/>
          <w:szCs w:val="20"/>
        </w:rPr>
        <w:t xml:space="preserve"> </w:t>
      </w:r>
      <w:r w:rsidR="004716E2" w:rsidRPr="004716E2">
        <w:rPr>
          <w:rFonts w:ascii="Open Sans" w:hAnsi="Open Sans" w:cs="Open Sans"/>
          <w:color w:val="595959" w:themeColor="text1" w:themeTint="A6"/>
          <w:sz w:val="20"/>
          <w:szCs w:val="20"/>
        </w:rPr>
        <w:t>Skaičiuojant BKKMN yra vertinama, kad kredito gavėjas kreditinius įsipareigojimus vykdo laiku ir pagal visas Sutartyje numatytas sąlygas. Nėra vertinami galimi delspinigiai, atidėjimai ar kitos sąlygos, dėl kurių gali didėti BKKMN.</w:t>
      </w:r>
    </w:p>
    <w:p w14:paraId="26576701" w14:textId="4F2591A3" w:rsidR="00AB1F74" w:rsidRDefault="004716E2" w:rsidP="00844C18">
      <w:pPr>
        <w:spacing w:after="0" w:line="240" w:lineRule="auto"/>
        <w:jc w:val="both"/>
        <w:rPr>
          <w:rFonts w:ascii="Open Sans" w:hAnsi="Open Sans" w:cs="Open Sans"/>
          <w:color w:val="595959" w:themeColor="text1" w:themeTint="A6"/>
          <w:sz w:val="20"/>
          <w:szCs w:val="20"/>
        </w:rPr>
      </w:pPr>
      <w:r w:rsidRPr="001E1619">
        <w:rPr>
          <w:rFonts w:ascii="Open Sans" w:hAnsi="Open Sans" w:cs="Open Sans"/>
          <w:color w:val="595959" w:themeColor="text1" w:themeTint="A6"/>
          <w:sz w:val="20"/>
          <w:szCs w:val="20"/>
        </w:rPr>
        <w:t>Standartinis bendros kredito kainos metinės normos apskaičiavimo pavyzdys</w:t>
      </w:r>
      <w:r w:rsidRPr="004716E2">
        <w:rPr>
          <w:rFonts w:ascii="Open Sans" w:hAnsi="Open Sans" w:cs="Open Sans"/>
          <w:color w:val="595959" w:themeColor="text1" w:themeTint="A6"/>
          <w:sz w:val="20"/>
          <w:szCs w:val="20"/>
        </w:rPr>
        <w:t xml:space="preserve">: </w:t>
      </w:r>
      <w:r w:rsidR="001E1619">
        <w:rPr>
          <w:rFonts w:ascii="Open Sans" w:hAnsi="Open Sans" w:cs="Open Sans"/>
          <w:color w:val="595959" w:themeColor="text1" w:themeTint="A6"/>
          <w:sz w:val="20"/>
          <w:szCs w:val="20"/>
        </w:rPr>
        <w:t>j</w:t>
      </w:r>
      <w:r w:rsidRPr="004716E2">
        <w:rPr>
          <w:rFonts w:ascii="Open Sans" w:hAnsi="Open Sans" w:cs="Open Sans"/>
          <w:color w:val="595959" w:themeColor="text1" w:themeTint="A6"/>
          <w:sz w:val="20"/>
          <w:szCs w:val="20"/>
        </w:rPr>
        <w:t xml:space="preserve">ei </w:t>
      </w:r>
      <w:r w:rsidR="001E1619">
        <w:rPr>
          <w:rFonts w:ascii="Open Sans" w:hAnsi="Open Sans" w:cs="Open Sans"/>
          <w:color w:val="595959" w:themeColor="text1" w:themeTint="A6"/>
          <w:sz w:val="20"/>
          <w:szCs w:val="20"/>
        </w:rPr>
        <w:t>kredito suma</w:t>
      </w:r>
      <w:r w:rsidRPr="004716E2">
        <w:rPr>
          <w:rFonts w:ascii="Open Sans" w:hAnsi="Open Sans" w:cs="Open Sans"/>
          <w:color w:val="595959" w:themeColor="text1" w:themeTint="A6"/>
          <w:sz w:val="20"/>
          <w:szCs w:val="20"/>
        </w:rPr>
        <w:t xml:space="preserve"> 9895,30 Eu</w:t>
      </w:r>
      <w:r w:rsidR="001E1619">
        <w:rPr>
          <w:rFonts w:ascii="Open Sans" w:hAnsi="Open Sans" w:cs="Open Sans"/>
          <w:color w:val="595959" w:themeColor="text1" w:themeTint="A6"/>
          <w:sz w:val="20"/>
          <w:szCs w:val="20"/>
        </w:rPr>
        <w:t>r.</w:t>
      </w:r>
      <w:r w:rsidRPr="004716E2">
        <w:rPr>
          <w:rFonts w:ascii="Open Sans" w:hAnsi="Open Sans" w:cs="Open Sans"/>
          <w:color w:val="595959" w:themeColor="text1" w:themeTint="A6"/>
          <w:sz w:val="20"/>
          <w:szCs w:val="20"/>
        </w:rPr>
        <w:t>, sutarties trukmė – 59 mėnesiai, taik</w:t>
      </w:r>
      <w:r w:rsidR="001E1619">
        <w:rPr>
          <w:rFonts w:ascii="Open Sans" w:hAnsi="Open Sans" w:cs="Open Sans"/>
          <w:color w:val="595959" w:themeColor="text1" w:themeTint="A6"/>
          <w:sz w:val="20"/>
          <w:szCs w:val="20"/>
        </w:rPr>
        <w:t>oma</w:t>
      </w:r>
      <w:r w:rsidRPr="004716E2">
        <w:rPr>
          <w:rFonts w:ascii="Open Sans" w:hAnsi="Open Sans" w:cs="Open Sans"/>
          <w:color w:val="595959" w:themeColor="text1" w:themeTint="A6"/>
          <w:sz w:val="20"/>
          <w:szCs w:val="20"/>
        </w:rPr>
        <w:t xml:space="preserve"> 5% metin</w:t>
      </w:r>
      <w:r w:rsidR="001E1619">
        <w:rPr>
          <w:rFonts w:ascii="Open Sans" w:hAnsi="Open Sans" w:cs="Open Sans"/>
          <w:color w:val="595959" w:themeColor="text1" w:themeTint="A6"/>
          <w:sz w:val="20"/>
          <w:szCs w:val="20"/>
        </w:rPr>
        <w:t>ė</w:t>
      </w:r>
      <w:r w:rsidRPr="004716E2">
        <w:rPr>
          <w:rFonts w:ascii="Open Sans" w:hAnsi="Open Sans" w:cs="Open Sans"/>
          <w:color w:val="595959" w:themeColor="text1" w:themeTint="A6"/>
          <w:sz w:val="20"/>
          <w:szCs w:val="20"/>
        </w:rPr>
        <w:t xml:space="preserve"> fiksuotų palūkanų norm</w:t>
      </w:r>
      <w:r w:rsidR="001E1619">
        <w:rPr>
          <w:rFonts w:ascii="Open Sans" w:hAnsi="Open Sans" w:cs="Open Sans"/>
          <w:color w:val="595959" w:themeColor="text1" w:themeTint="A6"/>
          <w:sz w:val="20"/>
          <w:szCs w:val="20"/>
        </w:rPr>
        <w:t>a</w:t>
      </w:r>
      <w:r w:rsidRPr="004716E2">
        <w:rPr>
          <w:rFonts w:ascii="Open Sans" w:hAnsi="Open Sans" w:cs="Open Sans"/>
          <w:color w:val="595959" w:themeColor="text1" w:themeTint="A6"/>
          <w:sz w:val="20"/>
          <w:szCs w:val="20"/>
        </w:rPr>
        <w:t>, bendra kredito kainos metinė norma būtų 5,12%, o bendra kredito mokama suma būtų 11 181,73 Eur. Mėnesinė įmoka – 189,52 Eur.</w:t>
      </w:r>
    </w:p>
    <w:p w14:paraId="76CB30C2" w14:textId="77777777" w:rsidR="001E1619" w:rsidRPr="007179E8" w:rsidRDefault="001E1619" w:rsidP="007179E8">
      <w:pPr>
        <w:spacing w:after="0" w:line="240" w:lineRule="auto"/>
        <w:rPr>
          <w:rFonts w:ascii="Open Sans" w:hAnsi="Open Sans" w:cs="Open Sans"/>
          <w:color w:val="595959" w:themeColor="text1" w:themeTint="A6"/>
          <w:sz w:val="20"/>
          <w:szCs w:val="20"/>
        </w:rPr>
      </w:pPr>
    </w:p>
    <w:p w14:paraId="2034EF49" w14:textId="5816209A" w:rsidR="00DE6E7E" w:rsidRDefault="00AB1F74" w:rsidP="00A36856">
      <w:pPr>
        <w:spacing w:after="0" w:line="240" w:lineRule="auto"/>
        <w:jc w:val="both"/>
        <w:rPr>
          <w:rFonts w:ascii="Open Sans" w:hAnsi="Open Sans" w:cs="Open Sans"/>
          <w:color w:val="595959" w:themeColor="text1" w:themeTint="A6"/>
          <w:sz w:val="20"/>
          <w:szCs w:val="20"/>
        </w:rPr>
      </w:pPr>
      <w:r w:rsidRPr="00AB1F74">
        <w:rPr>
          <w:rFonts w:ascii="Open Sans" w:hAnsi="Open Sans" w:cs="Open Sans"/>
          <w:b/>
          <w:bCs/>
          <w:color w:val="595959" w:themeColor="text1" w:themeTint="A6"/>
          <w:sz w:val="20"/>
          <w:szCs w:val="20"/>
        </w:rPr>
        <w:t>K</w:t>
      </w:r>
      <w:r w:rsidR="007179E8" w:rsidRPr="00AB1F74">
        <w:rPr>
          <w:rFonts w:ascii="Open Sans" w:hAnsi="Open Sans" w:cs="Open Sans"/>
          <w:b/>
          <w:bCs/>
          <w:color w:val="595959" w:themeColor="text1" w:themeTint="A6"/>
          <w:sz w:val="20"/>
          <w:szCs w:val="20"/>
        </w:rPr>
        <w:t>itos galimos su kredito sutarties sudarymu susijusios išlaidos, neįtrauktos į bendrą kredito kainą</w:t>
      </w:r>
      <w:r w:rsidR="00A36856">
        <w:rPr>
          <w:rFonts w:ascii="Open Sans" w:hAnsi="Open Sans" w:cs="Open Sans"/>
          <w:b/>
          <w:bCs/>
          <w:color w:val="595959" w:themeColor="text1" w:themeTint="A6"/>
          <w:sz w:val="20"/>
          <w:szCs w:val="20"/>
        </w:rPr>
        <w:t xml:space="preserve"> </w:t>
      </w:r>
      <w:r w:rsidR="00A36856" w:rsidRPr="00514EBF">
        <w:rPr>
          <w:rFonts w:ascii="Open Sans" w:hAnsi="Open Sans" w:cs="Open Sans"/>
          <w:color w:val="595959" w:themeColor="text1" w:themeTint="A6"/>
          <w:sz w:val="20"/>
          <w:szCs w:val="20"/>
        </w:rPr>
        <w:t>- t</w:t>
      </w:r>
      <w:r w:rsidR="00DE6E7E" w:rsidRPr="00514EBF">
        <w:rPr>
          <w:rFonts w:ascii="Open Sans" w:hAnsi="Open Sans" w:cs="Open Sans"/>
          <w:color w:val="595959" w:themeColor="text1" w:themeTint="A6"/>
          <w:sz w:val="20"/>
          <w:szCs w:val="20"/>
        </w:rPr>
        <w:t>am</w:t>
      </w:r>
      <w:r w:rsidR="00DE6E7E" w:rsidRPr="00DE6E7E">
        <w:rPr>
          <w:rFonts w:ascii="Open Sans" w:hAnsi="Open Sans" w:cs="Open Sans"/>
          <w:color w:val="595959" w:themeColor="text1" w:themeTint="A6"/>
          <w:sz w:val="20"/>
          <w:szCs w:val="20"/>
        </w:rPr>
        <w:t xml:space="preserve"> tikrų išlaidų, susijusių su kreditu, </w:t>
      </w:r>
      <w:r w:rsidR="00DE6E7E">
        <w:rPr>
          <w:rFonts w:ascii="Open Sans" w:hAnsi="Open Sans" w:cs="Open Sans"/>
          <w:color w:val="595959" w:themeColor="text1" w:themeTint="A6"/>
          <w:sz w:val="20"/>
          <w:szCs w:val="20"/>
        </w:rPr>
        <w:t>negalima įvertinti</w:t>
      </w:r>
      <w:r w:rsidR="00DE6E7E" w:rsidRPr="00DE6E7E">
        <w:rPr>
          <w:rFonts w:ascii="Open Sans" w:hAnsi="Open Sans" w:cs="Open Sans"/>
          <w:color w:val="595959" w:themeColor="text1" w:themeTint="A6"/>
          <w:sz w:val="20"/>
          <w:szCs w:val="20"/>
        </w:rPr>
        <w:t xml:space="preserve">, </w:t>
      </w:r>
      <w:r w:rsidR="00DE6E7E">
        <w:rPr>
          <w:rFonts w:ascii="Open Sans" w:hAnsi="Open Sans" w:cs="Open Sans"/>
          <w:color w:val="595959" w:themeColor="text1" w:themeTint="A6"/>
          <w:sz w:val="20"/>
          <w:szCs w:val="20"/>
        </w:rPr>
        <w:t>nes už t</w:t>
      </w:r>
      <w:r w:rsidR="00DE6E7E" w:rsidRPr="00DE6E7E">
        <w:rPr>
          <w:rFonts w:ascii="Open Sans" w:hAnsi="Open Sans" w:cs="Open Sans"/>
          <w:color w:val="595959" w:themeColor="text1" w:themeTint="A6"/>
          <w:sz w:val="20"/>
          <w:szCs w:val="20"/>
        </w:rPr>
        <w:t xml:space="preserve">am tikras paslaugas mokama pagal trečiųjų </w:t>
      </w:r>
      <w:r w:rsidR="00DE6E7E">
        <w:rPr>
          <w:rFonts w:ascii="Open Sans" w:hAnsi="Open Sans" w:cs="Open Sans"/>
          <w:color w:val="595959" w:themeColor="text1" w:themeTint="A6"/>
          <w:sz w:val="20"/>
          <w:szCs w:val="20"/>
        </w:rPr>
        <w:t>šalių</w:t>
      </w:r>
      <w:r w:rsidR="00DE6E7E" w:rsidRPr="00DE6E7E">
        <w:rPr>
          <w:rFonts w:ascii="Open Sans" w:hAnsi="Open Sans" w:cs="Open Sans"/>
          <w:color w:val="595959" w:themeColor="text1" w:themeTint="A6"/>
          <w:sz w:val="20"/>
          <w:szCs w:val="20"/>
        </w:rPr>
        <w:t xml:space="preserve"> nustatytus įkainius, kurie </w:t>
      </w:r>
      <w:r w:rsidR="00DE6E7E">
        <w:rPr>
          <w:rFonts w:ascii="Open Sans" w:hAnsi="Open Sans" w:cs="Open Sans"/>
          <w:color w:val="595959" w:themeColor="text1" w:themeTint="A6"/>
          <w:sz w:val="20"/>
          <w:szCs w:val="20"/>
        </w:rPr>
        <w:t xml:space="preserve">kinta priklausomai nuo </w:t>
      </w:r>
      <w:r w:rsidR="00DE6E7E" w:rsidRPr="00DE6E7E">
        <w:rPr>
          <w:rFonts w:ascii="Open Sans" w:hAnsi="Open Sans" w:cs="Open Sans"/>
          <w:color w:val="595959" w:themeColor="text1" w:themeTint="A6"/>
          <w:sz w:val="20"/>
          <w:szCs w:val="20"/>
        </w:rPr>
        <w:t>turto</w:t>
      </w:r>
      <w:r w:rsidR="00DE6E7E">
        <w:rPr>
          <w:rFonts w:ascii="Open Sans" w:hAnsi="Open Sans" w:cs="Open Sans"/>
          <w:color w:val="595959" w:themeColor="text1" w:themeTint="A6"/>
          <w:sz w:val="20"/>
          <w:szCs w:val="20"/>
        </w:rPr>
        <w:t>.</w:t>
      </w:r>
      <w:r w:rsidR="00DE6E7E" w:rsidRPr="00DE6E7E">
        <w:rPr>
          <w:rFonts w:ascii="Open Sans" w:hAnsi="Open Sans" w:cs="Open Sans"/>
          <w:color w:val="595959" w:themeColor="text1" w:themeTint="A6"/>
          <w:sz w:val="20"/>
          <w:szCs w:val="20"/>
        </w:rPr>
        <w:t xml:space="preserve"> </w:t>
      </w:r>
      <w:r w:rsidR="00DE6E7E">
        <w:rPr>
          <w:rFonts w:ascii="Open Sans" w:hAnsi="Open Sans" w:cs="Open Sans"/>
          <w:color w:val="595959" w:themeColor="text1" w:themeTint="A6"/>
          <w:sz w:val="20"/>
          <w:szCs w:val="20"/>
        </w:rPr>
        <w:t>P</w:t>
      </w:r>
      <w:r w:rsidR="00DE6E7E" w:rsidRPr="00DE6E7E">
        <w:rPr>
          <w:rFonts w:ascii="Open Sans" w:hAnsi="Open Sans" w:cs="Open Sans"/>
          <w:color w:val="595959" w:themeColor="text1" w:themeTint="A6"/>
          <w:sz w:val="20"/>
          <w:szCs w:val="20"/>
        </w:rPr>
        <w:t xml:space="preserve">avyzdyje </w:t>
      </w:r>
      <w:r w:rsidR="00DE6E7E">
        <w:rPr>
          <w:rFonts w:ascii="Open Sans" w:hAnsi="Open Sans" w:cs="Open Sans"/>
          <w:color w:val="595959" w:themeColor="text1" w:themeTint="A6"/>
          <w:sz w:val="20"/>
          <w:szCs w:val="20"/>
        </w:rPr>
        <w:t>tokios</w:t>
      </w:r>
      <w:r w:rsidR="00DE6E7E" w:rsidRPr="00DE6E7E">
        <w:rPr>
          <w:rFonts w:ascii="Open Sans" w:hAnsi="Open Sans" w:cs="Open Sans"/>
          <w:color w:val="595959" w:themeColor="text1" w:themeTint="A6"/>
          <w:sz w:val="20"/>
          <w:szCs w:val="20"/>
        </w:rPr>
        <w:t xml:space="preserve"> išlaidos</w:t>
      </w:r>
      <w:r w:rsidR="00DE6E7E">
        <w:rPr>
          <w:rFonts w:ascii="Open Sans" w:hAnsi="Open Sans" w:cs="Open Sans"/>
          <w:color w:val="595959" w:themeColor="text1" w:themeTint="A6"/>
          <w:sz w:val="20"/>
          <w:szCs w:val="20"/>
        </w:rPr>
        <w:t xml:space="preserve"> kaip </w:t>
      </w:r>
      <w:r w:rsidR="00DE6E7E" w:rsidRPr="00DE6E7E">
        <w:rPr>
          <w:rFonts w:ascii="Open Sans" w:hAnsi="Open Sans" w:cs="Open Sans"/>
          <w:color w:val="595959" w:themeColor="text1" w:themeTint="A6"/>
          <w:sz w:val="20"/>
          <w:szCs w:val="20"/>
        </w:rPr>
        <w:t>įkeičiamo turto draudim</w:t>
      </w:r>
      <w:r w:rsidR="00DE6E7E">
        <w:rPr>
          <w:rFonts w:ascii="Open Sans" w:hAnsi="Open Sans" w:cs="Open Sans"/>
          <w:color w:val="595959" w:themeColor="text1" w:themeTint="A6"/>
          <w:sz w:val="20"/>
          <w:szCs w:val="20"/>
        </w:rPr>
        <w:t xml:space="preserve">as, įkeičiamo turto vertinimas, atlyginimas už notaro paslaugas, </w:t>
      </w:r>
      <w:r w:rsidR="00DE6E7E" w:rsidRPr="00DE6E7E">
        <w:rPr>
          <w:rFonts w:ascii="Open Sans" w:hAnsi="Open Sans" w:cs="Open Sans"/>
          <w:color w:val="595959" w:themeColor="text1" w:themeTint="A6"/>
          <w:sz w:val="20"/>
          <w:szCs w:val="20"/>
        </w:rPr>
        <w:t>hipotekos išregistravim</w:t>
      </w:r>
      <w:r w:rsidR="00DE6E7E">
        <w:rPr>
          <w:rFonts w:ascii="Open Sans" w:hAnsi="Open Sans" w:cs="Open Sans"/>
          <w:color w:val="595959" w:themeColor="text1" w:themeTint="A6"/>
          <w:sz w:val="20"/>
          <w:szCs w:val="20"/>
        </w:rPr>
        <w:t>as</w:t>
      </w:r>
      <w:r w:rsidR="00DE6E7E" w:rsidRPr="00DE6E7E">
        <w:rPr>
          <w:rFonts w:ascii="Open Sans" w:hAnsi="Open Sans" w:cs="Open Sans"/>
          <w:color w:val="595959" w:themeColor="text1" w:themeTint="A6"/>
          <w:sz w:val="20"/>
          <w:szCs w:val="20"/>
        </w:rPr>
        <w:t xml:space="preserve"> Hipotekos registre</w:t>
      </w:r>
      <w:r w:rsidR="00DE6E7E">
        <w:rPr>
          <w:rFonts w:ascii="Open Sans" w:hAnsi="Open Sans" w:cs="Open Sans"/>
          <w:color w:val="595959" w:themeColor="text1" w:themeTint="A6"/>
          <w:sz w:val="20"/>
          <w:szCs w:val="20"/>
        </w:rPr>
        <w:t>,</w:t>
      </w:r>
      <w:r w:rsidR="00DE6E7E" w:rsidRPr="00DE6E7E">
        <w:rPr>
          <w:rFonts w:ascii="Open Sans" w:hAnsi="Open Sans" w:cs="Open Sans"/>
          <w:color w:val="595959" w:themeColor="text1" w:themeTint="A6"/>
          <w:sz w:val="20"/>
          <w:szCs w:val="20"/>
        </w:rPr>
        <w:t xml:space="preserve"> netesybos už kredito sutartyje nustatytų įsipareigojimų nevykdymą</w:t>
      </w:r>
      <w:r w:rsidR="00DE6E7E">
        <w:rPr>
          <w:rFonts w:ascii="Open Sans" w:hAnsi="Open Sans" w:cs="Open Sans"/>
          <w:color w:val="595959" w:themeColor="text1" w:themeTint="A6"/>
          <w:sz w:val="20"/>
          <w:szCs w:val="20"/>
        </w:rPr>
        <w:t>, ne</w:t>
      </w:r>
      <w:r w:rsidR="00DE6E7E" w:rsidRPr="00DE6E7E">
        <w:rPr>
          <w:rFonts w:ascii="Open Sans" w:hAnsi="Open Sans" w:cs="Open Sans"/>
          <w:color w:val="595959" w:themeColor="text1" w:themeTint="A6"/>
          <w:sz w:val="20"/>
          <w:szCs w:val="20"/>
        </w:rPr>
        <w:t>įtrauktos į bendrą kredito kainą</w:t>
      </w:r>
      <w:r w:rsidR="00DE6E7E">
        <w:rPr>
          <w:rFonts w:ascii="Open Sans" w:hAnsi="Open Sans" w:cs="Open Sans"/>
          <w:color w:val="595959" w:themeColor="text1" w:themeTint="A6"/>
          <w:sz w:val="20"/>
          <w:szCs w:val="20"/>
        </w:rPr>
        <w:t>.</w:t>
      </w:r>
    </w:p>
    <w:p w14:paraId="5ADB753C" w14:textId="77777777" w:rsidR="00DE6E7E" w:rsidRPr="00DE6E7E" w:rsidRDefault="00DE6E7E" w:rsidP="00DE6E7E">
      <w:pPr>
        <w:spacing w:after="0" w:line="240" w:lineRule="auto"/>
        <w:rPr>
          <w:rFonts w:ascii="Open Sans" w:hAnsi="Open Sans" w:cs="Open Sans"/>
          <w:color w:val="595959" w:themeColor="text1" w:themeTint="A6"/>
          <w:sz w:val="20"/>
          <w:szCs w:val="20"/>
        </w:rPr>
      </w:pPr>
    </w:p>
    <w:p w14:paraId="5AAA4EAB" w14:textId="633F21D6" w:rsidR="00AB645B" w:rsidRDefault="00A36856" w:rsidP="00AB645B">
      <w:pPr>
        <w:spacing w:after="0" w:line="240" w:lineRule="auto"/>
        <w:jc w:val="both"/>
        <w:rPr>
          <w:rFonts w:ascii="Open Sans" w:hAnsi="Open Sans" w:cs="Open Sans"/>
          <w:color w:val="595959" w:themeColor="text1" w:themeTint="A6"/>
          <w:sz w:val="20"/>
          <w:szCs w:val="20"/>
        </w:rPr>
      </w:pPr>
      <w:r w:rsidRPr="00A36856">
        <w:rPr>
          <w:rFonts w:ascii="Open Sans" w:hAnsi="Open Sans" w:cs="Open Sans"/>
          <w:b/>
          <w:bCs/>
          <w:color w:val="595959" w:themeColor="text1" w:themeTint="A6"/>
          <w:sz w:val="20"/>
          <w:szCs w:val="20"/>
        </w:rPr>
        <w:t>G</w:t>
      </w:r>
      <w:r w:rsidR="007179E8" w:rsidRPr="00A36856">
        <w:rPr>
          <w:rFonts w:ascii="Open Sans" w:hAnsi="Open Sans" w:cs="Open Sans"/>
          <w:b/>
          <w:bCs/>
          <w:color w:val="595959" w:themeColor="text1" w:themeTint="A6"/>
          <w:sz w:val="20"/>
          <w:szCs w:val="20"/>
        </w:rPr>
        <w:t>alimybės grąžinti kreditą kredito davėjui, įskaitant kredito įmokų skaičių, periodiškumą ir sumą</w:t>
      </w:r>
      <w:r>
        <w:rPr>
          <w:rFonts w:ascii="Open Sans" w:hAnsi="Open Sans" w:cs="Open Sans"/>
          <w:color w:val="595959" w:themeColor="text1" w:themeTint="A6"/>
          <w:sz w:val="20"/>
          <w:szCs w:val="20"/>
        </w:rPr>
        <w:t xml:space="preserve"> </w:t>
      </w:r>
      <w:r w:rsidR="00746F49">
        <w:rPr>
          <w:rFonts w:ascii="Open Sans" w:hAnsi="Open Sans" w:cs="Open Sans"/>
          <w:color w:val="595959" w:themeColor="text1" w:themeTint="A6"/>
          <w:sz w:val="20"/>
          <w:szCs w:val="20"/>
        </w:rPr>
        <w:t xml:space="preserve">– </w:t>
      </w:r>
      <w:r w:rsidR="00EE7C86">
        <w:rPr>
          <w:rFonts w:ascii="Open Sans" w:hAnsi="Open Sans" w:cs="Open Sans"/>
          <w:color w:val="595959" w:themeColor="text1" w:themeTint="A6"/>
          <w:sz w:val="20"/>
          <w:szCs w:val="20"/>
        </w:rPr>
        <w:t>s</w:t>
      </w:r>
      <w:r w:rsidR="00EE7C86" w:rsidRPr="00AB645B">
        <w:rPr>
          <w:rFonts w:ascii="Open Sans" w:hAnsi="Open Sans" w:cs="Open Sans"/>
          <w:color w:val="595959" w:themeColor="text1" w:themeTint="A6"/>
          <w:sz w:val="20"/>
          <w:szCs w:val="20"/>
        </w:rPr>
        <w:t xml:space="preserve">uteikiamų kreditų grąžinimo grafikas </w:t>
      </w:r>
      <w:r w:rsidR="00EE7C86">
        <w:rPr>
          <w:rFonts w:ascii="Open Sans" w:hAnsi="Open Sans" w:cs="Open Sans"/>
          <w:color w:val="595959" w:themeColor="text1" w:themeTint="A6"/>
          <w:sz w:val="20"/>
          <w:szCs w:val="20"/>
        </w:rPr>
        <w:t>yra</w:t>
      </w:r>
      <w:r w:rsidR="00EE7C86" w:rsidRPr="00AB645B">
        <w:rPr>
          <w:rFonts w:ascii="Open Sans" w:hAnsi="Open Sans" w:cs="Open Sans"/>
          <w:color w:val="595959" w:themeColor="text1" w:themeTint="A6"/>
          <w:sz w:val="20"/>
          <w:szCs w:val="20"/>
        </w:rPr>
        <w:t xml:space="preserve"> sudaromas, atsižvelgiant į kredito gavėjo gaunamų pajamų periodiškumą.</w:t>
      </w:r>
      <w:r w:rsidR="00EE7C86">
        <w:rPr>
          <w:rFonts w:ascii="Open Sans" w:hAnsi="Open Sans" w:cs="Open Sans"/>
          <w:color w:val="595959" w:themeColor="text1" w:themeTint="A6"/>
          <w:sz w:val="20"/>
          <w:szCs w:val="20"/>
        </w:rPr>
        <w:t xml:space="preserve"> K</w:t>
      </w:r>
      <w:r w:rsidR="00AB645B" w:rsidRPr="00AB645B">
        <w:rPr>
          <w:rFonts w:ascii="Open Sans" w:hAnsi="Open Sans" w:cs="Open Sans"/>
          <w:color w:val="595959" w:themeColor="text1" w:themeTint="A6"/>
          <w:sz w:val="20"/>
          <w:szCs w:val="20"/>
        </w:rPr>
        <w:t xml:space="preserve">redito unija gali taikyti šiuos kredito grąžinimo metodus: </w:t>
      </w:r>
    </w:p>
    <w:p w14:paraId="26AFBD81" w14:textId="2FD2D205" w:rsidR="00AB645B" w:rsidRDefault="00AB645B" w:rsidP="00AB645B">
      <w:pPr>
        <w:spacing w:after="0" w:line="240" w:lineRule="auto"/>
        <w:jc w:val="both"/>
        <w:rPr>
          <w:rFonts w:ascii="Open Sans" w:hAnsi="Open Sans" w:cs="Open Sans"/>
          <w:color w:val="595959" w:themeColor="text1" w:themeTint="A6"/>
          <w:sz w:val="20"/>
          <w:szCs w:val="20"/>
        </w:rPr>
      </w:pPr>
      <w:r w:rsidRPr="00AB645B">
        <w:rPr>
          <w:rFonts w:ascii="Open Sans" w:hAnsi="Open Sans" w:cs="Open Sans"/>
          <w:color w:val="595959" w:themeColor="text1" w:themeTint="A6"/>
          <w:sz w:val="20"/>
          <w:szCs w:val="20"/>
        </w:rPr>
        <w:t xml:space="preserve">1) </w:t>
      </w:r>
      <w:r w:rsidRPr="001E1619">
        <w:rPr>
          <w:rFonts w:ascii="Open Sans" w:hAnsi="Open Sans" w:cs="Open Sans"/>
          <w:color w:val="595959" w:themeColor="text1" w:themeTint="A6"/>
          <w:sz w:val="20"/>
          <w:szCs w:val="20"/>
          <w:u w:val="single"/>
        </w:rPr>
        <w:t>Linijinis metodas</w:t>
      </w:r>
      <w:r w:rsidRPr="00AB645B">
        <w:rPr>
          <w:rFonts w:ascii="Open Sans" w:hAnsi="Open Sans" w:cs="Open Sans"/>
          <w:color w:val="595959" w:themeColor="text1" w:themeTint="A6"/>
          <w:sz w:val="20"/>
          <w:szCs w:val="20"/>
        </w:rPr>
        <w:t xml:space="preserve">  –  </w:t>
      </w:r>
      <w:r w:rsidR="007A2586">
        <w:rPr>
          <w:rFonts w:ascii="Open Sans" w:hAnsi="Open Sans" w:cs="Open Sans"/>
          <w:color w:val="595959" w:themeColor="text1" w:themeTint="A6"/>
          <w:sz w:val="20"/>
          <w:szCs w:val="20"/>
        </w:rPr>
        <w:t>k</w:t>
      </w:r>
      <w:r w:rsidRPr="00AB645B">
        <w:rPr>
          <w:rFonts w:ascii="Open Sans" w:hAnsi="Open Sans" w:cs="Open Sans"/>
          <w:color w:val="595959" w:themeColor="text1" w:themeTint="A6"/>
          <w:sz w:val="20"/>
          <w:szCs w:val="20"/>
        </w:rPr>
        <w:t xml:space="preserve">redito   grąžinimo ir   palūkanų   mokėjimo   būdas,   kai   </w:t>
      </w:r>
      <w:r w:rsidR="007A2586">
        <w:rPr>
          <w:rFonts w:ascii="Open Sans" w:hAnsi="Open Sans" w:cs="Open Sans"/>
          <w:color w:val="595959" w:themeColor="text1" w:themeTint="A6"/>
          <w:sz w:val="20"/>
          <w:szCs w:val="20"/>
        </w:rPr>
        <w:t>k</w:t>
      </w:r>
      <w:r w:rsidRPr="00AB645B">
        <w:rPr>
          <w:rFonts w:ascii="Open Sans" w:hAnsi="Open Sans" w:cs="Open Sans"/>
          <w:color w:val="595959" w:themeColor="text1" w:themeTint="A6"/>
          <w:sz w:val="20"/>
          <w:szCs w:val="20"/>
        </w:rPr>
        <w:t>reditas   grąžinamas   lygiomis   dalimis   ir   sumokamos   palūkanos,</w:t>
      </w:r>
      <w:r>
        <w:rPr>
          <w:rFonts w:ascii="Open Sans" w:hAnsi="Open Sans" w:cs="Open Sans"/>
          <w:color w:val="595959" w:themeColor="text1" w:themeTint="A6"/>
          <w:sz w:val="20"/>
          <w:szCs w:val="20"/>
        </w:rPr>
        <w:t xml:space="preserve"> </w:t>
      </w:r>
      <w:r w:rsidRPr="00AB645B">
        <w:rPr>
          <w:rFonts w:ascii="Open Sans" w:hAnsi="Open Sans" w:cs="Open Sans"/>
          <w:color w:val="595959" w:themeColor="text1" w:themeTint="A6"/>
          <w:sz w:val="20"/>
          <w:szCs w:val="20"/>
        </w:rPr>
        <w:t xml:space="preserve">apskaičiuotos nuo negrąžintos </w:t>
      </w:r>
      <w:r w:rsidR="007A2586">
        <w:rPr>
          <w:rFonts w:ascii="Open Sans" w:hAnsi="Open Sans" w:cs="Open Sans"/>
          <w:color w:val="595959" w:themeColor="text1" w:themeTint="A6"/>
          <w:sz w:val="20"/>
          <w:szCs w:val="20"/>
        </w:rPr>
        <w:t>k</w:t>
      </w:r>
      <w:r w:rsidRPr="00AB645B">
        <w:rPr>
          <w:rFonts w:ascii="Open Sans" w:hAnsi="Open Sans" w:cs="Open Sans"/>
          <w:color w:val="595959" w:themeColor="text1" w:themeTint="A6"/>
          <w:sz w:val="20"/>
          <w:szCs w:val="20"/>
        </w:rPr>
        <w:t>redito dalies. Skaičiuojant mokėtinas palūkanas Linijiniu metodu, laikoma, kad metai susideda iš 365 dienų, o mėnuo</w:t>
      </w:r>
      <w:r w:rsidR="00B87DC3">
        <w:rPr>
          <w:rFonts w:ascii="Open Sans" w:hAnsi="Open Sans" w:cs="Open Sans"/>
          <w:color w:val="595959" w:themeColor="text1" w:themeTint="A6"/>
          <w:sz w:val="20"/>
          <w:szCs w:val="20"/>
        </w:rPr>
        <w:t xml:space="preserve"> </w:t>
      </w:r>
      <w:r w:rsidRPr="00AB645B">
        <w:rPr>
          <w:rFonts w:ascii="Open Sans" w:hAnsi="Open Sans" w:cs="Open Sans"/>
          <w:color w:val="595959" w:themeColor="text1" w:themeTint="A6"/>
          <w:sz w:val="20"/>
          <w:szCs w:val="20"/>
        </w:rPr>
        <w:t xml:space="preserve">iš kalendorinio dienų skaičiaus; </w:t>
      </w:r>
    </w:p>
    <w:p w14:paraId="4F90B272" w14:textId="28E66FFF" w:rsidR="00AB645B" w:rsidRDefault="00AB645B" w:rsidP="00AB645B">
      <w:pPr>
        <w:spacing w:after="0" w:line="240" w:lineRule="auto"/>
        <w:jc w:val="both"/>
        <w:rPr>
          <w:rFonts w:ascii="Open Sans" w:hAnsi="Open Sans" w:cs="Open Sans"/>
          <w:color w:val="595959" w:themeColor="text1" w:themeTint="A6"/>
          <w:sz w:val="20"/>
          <w:szCs w:val="20"/>
        </w:rPr>
      </w:pPr>
      <w:r w:rsidRPr="00AB645B">
        <w:rPr>
          <w:rFonts w:ascii="Open Sans" w:hAnsi="Open Sans" w:cs="Open Sans"/>
          <w:color w:val="595959" w:themeColor="text1" w:themeTint="A6"/>
          <w:sz w:val="20"/>
          <w:szCs w:val="20"/>
        </w:rPr>
        <w:t xml:space="preserve">2) </w:t>
      </w:r>
      <w:r w:rsidRPr="001E1619">
        <w:rPr>
          <w:rFonts w:ascii="Open Sans" w:hAnsi="Open Sans" w:cs="Open Sans"/>
          <w:color w:val="595959" w:themeColor="text1" w:themeTint="A6"/>
          <w:sz w:val="20"/>
          <w:szCs w:val="20"/>
          <w:u w:val="single"/>
        </w:rPr>
        <w:t>Anuiteto   metodas</w:t>
      </w:r>
      <w:r w:rsidRPr="00AB645B">
        <w:rPr>
          <w:rFonts w:ascii="Open Sans" w:hAnsi="Open Sans" w:cs="Open Sans"/>
          <w:color w:val="595959" w:themeColor="text1" w:themeTint="A6"/>
          <w:sz w:val="20"/>
          <w:szCs w:val="20"/>
        </w:rPr>
        <w:t xml:space="preserve">   –   </w:t>
      </w:r>
      <w:r w:rsidR="007A2586">
        <w:rPr>
          <w:rFonts w:ascii="Open Sans" w:hAnsi="Open Sans" w:cs="Open Sans"/>
          <w:color w:val="595959" w:themeColor="text1" w:themeTint="A6"/>
          <w:sz w:val="20"/>
          <w:szCs w:val="20"/>
        </w:rPr>
        <w:t>k</w:t>
      </w:r>
      <w:r w:rsidRPr="00AB645B">
        <w:rPr>
          <w:rFonts w:ascii="Open Sans" w:hAnsi="Open Sans" w:cs="Open Sans"/>
          <w:color w:val="595959" w:themeColor="text1" w:themeTint="A6"/>
          <w:sz w:val="20"/>
          <w:szCs w:val="20"/>
        </w:rPr>
        <w:t xml:space="preserve">redito   grąžinimo   ir   palūkanų   mokėjimo   būdas,   kai   </w:t>
      </w:r>
      <w:r w:rsidR="007A2586">
        <w:rPr>
          <w:rFonts w:ascii="Open Sans" w:hAnsi="Open Sans" w:cs="Open Sans"/>
          <w:color w:val="595959" w:themeColor="text1" w:themeTint="A6"/>
          <w:sz w:val="20"/>
          <w:szCs w:val="20"/>
        </w:rPr>
        <w:t>k</w:t>
      </w:r>
      <w:r w:rsidRPr="00AB645B">
        <w:rPr>
          <w:rFonts w:ascii="Open Sans" w:hAnsi="Open Sans" w:cs="Open Sans"/>
          <w:color w:val="595959" w:themeColor="text1" w:themeTint="A6"/>
          <w:sz w:val="20"/>
          <w:szCs w:val="20"/>
        </w:rPr>
        <w:t xml:space="preserve">redito   gavėjas   </w:t>
      </w:r>
      <w:r w:rsidR="007A2586">
        <w:rPr>
          <w:rFonts w:ascii="Open Sans" w:hAnsi="Open Sans" w:cs="Open Sans"/>
          <w:color w:val="595959" w:themeColor="text1" w:themeTint="A6"/>
          <w:sz w:val="20"/>
          <w:szCs w:val="20"/>
        </w:rPr>
        <w:t xml:space="preserve">kredito unijai </w:t>
      </w:r>
      <w:r w:rsidRPr="00AB645B">
        <w:rPr>
          <w:rFonts w:ascii="Open Sans" w:hAnsi="Open Sans" w:cs="Open Sans"/>
          <w:color w:val="595959" w:themeColor="text1" w:themeTint="A6"/>
          <w:sz w:val="20"/>
          <w:szCs w:val="20"/>
        </w:rPr>
        <w:t>moka   lygias   įmokas,   kurias   sudaro   grąžinama</w:t>
      </w:r>
      <w:r>
        <w:rPr>
          <w:rFonts w:ascii="Open Sans" w:hAnsi="Open Sans" w:cs="Open Sans"/>
          <w:color w:val="595959" w:themeColor="text1" w:themeTint="A6"/>
          <w:sz w:val="20"/>
          <w:szCs w:val="20"/>
        </w:rPr>
        <w:t xml:space="preserve"> </w:t>
      </w:r>
      <w:r w:rsidR="007A2586">
        <w:rPr>
          <w:rFonts w:ascii="Open Sans" w:hAnsi="Open Sans" w:cs="Open Sans"/>
          <w:color w:val="595959" w:themeColor="text1" w:themeTint="A6"/>
          <w:sz w:val="20"/>
          <w:szCs w:val="20"/>
        </w:rPr>
        <w:t>k</w:t>
      </w:r>
      <w:r w:rsidRPr="00AB645B">
        <w:rPr>
          <w:rFonts w:ascii="Open Sans" w:hAnsi="Open Sans" w:cs="Open Sans"/>
          <w:color w:val="595959" w:themeColor="text1" w:themeTint="A6"/>
          <w:sz w:val="20"/>
          <w:szCs w:val="20"/>
        </w:rPr>
        <w:t>redito dalis ir apskaičiuotų palūkanų dalis. Skaičiuojant mokėtinas palūkanas Anuiteto metodu, laikoma, kad metai susideda iš 365 dienų, o mėnuo iš</w:t>
      </w:r>
      <w:r>
        <w:rPr>
          <w:rFonts w:ascii="Open Sans" w:hAnsi="Open Sans" w:cs="Open Sans"/>
          <w:color w:val="595959" w:themeColor="text1" w:themeTint="A6"/>
          <w:sz w:val="20"/>
          <w:szCs w:val="20"/>
        </w:rPr>
        <w:t xml:space="preserve"> </w:t>
      </w:r>
      <w:r w:rsidRPr="00AB645B">
        <w:rPr>
          <w:rFonts w:ascii="Open Sans" w:hAnsi="Open Sans" w:cs="Open Sans"/>
          <w:color w:val="595959" w:themeColor="text1" w:themeTint="A6"/>
          <w:sz w:val="20"/>
          <w:szCs w:val="20"/>
        </w:rPr>
        <w:t>kalendorinio dienų skaičiaus</w:t>
      </w:r>
      <w:r>
        <w:rPr>
          <w:rFonts w:ascii="Open Sans" w:hAnsi="Open Sans" w:cs="Open Sans"/>
          <w:color w:val="595959" w:themeColor="text1" w:themeTint="A6"/>
          <w:sz w:val="20"/>
          <w:szCs w:val="20"/>
        </w:rPr>
        <w:t>.</w:t>
      </w:r>
      <w:r w:rsidRPr="00AB645B">
        <w:rPr>
          <w:rFonts w:ascii="Open Sans" w:hAnsi="Open Sans" w:cs="Open Sans"/>
          <w:color w:val="595959" w:themeColor="text1" w:themeTint="A6"/>
          <w:sz w:val="20"/>
          <w:szCs w:val="20"/>
        </w:rPr>
        <w:t xml:space="preserve"> </w:t>
      </w:r>
    </w:p>
    <w:p w14:paraId="7D441F66" w14:textId="0B917C60" w:rsidR="00AB645B" w:rsidRDefault="00AB645B" w:rsidP="00AB645B">
      <w:pPr>
        <w:spacing w:after="0" w:line="240" w:lineRule="auto"/>
        <w:jc w:val="both"/>
        <w:rPr>
          <w:rFonts w:ascii="Open Sans" w:hAnsi="Open Sans" w:cs="Open Sans"/>
          <w:color w:val="595959" w:themeColor="text1" w:themeTint="A6"/>
          <w:sz w:val="20"/>
          <w:szCs w:val="20"/>
        </w:rPr>
      </w:pPr>
      <w:r w:rsidRPr="00AB645B">
        <w:rPr>
          <w:rFonts w:ascii="Open Sans" w:hAnsi="Open Sans" w:cs="Open Sans"/>
          <w:color w:val="595959" w:themeColor="text1" w:themeTint="A6"/>
          <w:sz w:val="20"/>
          <w:szCs w:val="20"/>
        </w:rPr>
        <w:t xml:space="preserve">3) </w:t>
      </w:r>
      <w:r w:rsidR="00B87DC3" w:rsidRPr="001E1619">
        <w:rPr>
          <w:rFonts w:ascii="Open Sans" w:hAnsi="Open Sans" w:cs="Open Sans"/>
          <w:color w:val="595959" w:themeColor="text1" w:themeTint="A6"/>
          <w:sz w:val="20"/>
          <w:szCs w:val="20"/>
          <w:u w:val="single"/>
        </w:rPr>
        <w:t>Individualus metodas</w:t>
      </w:r>
      <w:r w:rsidR="00B87DC3" w:rsidRPr="00B87DC3">
        <w:rPr>
          <w:rFonts w:ascii="Open Sans" w:hAnsi="Open Sans" w:cs="Open Sans"/>
          <w:color w:val="595959" w:themeColor="text1" w:themeTint="A6"/>
          <w:sz w:val="20"/>
          <w:szCs w:val="20"/>
        </w:rPr>
        <w:t xml:space="preserve"> – individualiai </w:t>
      </w:r>
      <w:r w:rsidR="007A2586">
        <w:rPr>
          <w:rFonts w:ascii="Open Sans" w:hAnsi="Open Sans" w:cs="Open Sans"/>
          <w:color w:val="595959" w:themeColor="text1" w:themeTint="A6"/>
          <w:sz w:val="20"/>
          <w:szCs w:val="20"/>
        </w:rPr>
        <w:t>k</w:t>
      </w:r>
      <w:r w:rsidR="00B87DC3" w:rsidRPr="00B87DC3">
        <w:rPr>
          <w:rFonts w:ascii="Open Sans" w:hAnsi="Open Sans" w:cs="Open Sans"/>
          <w:color w:val="595959" w:themeColor="text1" w:themeTint="A6"/>
          <w:sz w:val="20"/>
          <w:szCs w:val="20"/>
        </w:rPr>
        <w:t xml:space="preserve">redito gavėjui taikomas </w:t>
      </w:r>
      <w:r w:rsidR="007A2586">
        <w:rPr>
          <w:rFonts w:ascii="Open Sans" w:hAnsi="Open Sans" w:cs="Open Sans"/>
          <w:color w:val="595959" w:themeColor="text1" w:themeTint="A6"/>
          <w:sz w:val="20"/>
          <w:szCs w:val="20"/>
        </w:rPr>
        <w:t>k</w:t>
      </w:r>
      <w:r w:rsidR="00B87DC3" w:rsidRPr="00B87DC3">
        <w:rPr>
          <w:rFonts w:ascii="Open Sans" w:hAnsi="Open Sans" w:cs="Open Sans"/>
          <w:color w:val="595959" w:themeColor="text1" w:themeTint="A6"/>
          <w:sz w:val="20"/>
          <w:szCs w:val="20"/>
        </w:rPr>
        <w:t>redito grąžinimo ir palūkanų mokėjimo būdas</w:t>
      </w:r>
      <w:r w:rsidRPr="00AB645B">
        <w:rPr>
          <w:rFonts w:ascii="Open Sans" w:hAnsi="Open Sans" w:cs="Open Sans"/>
          <w:color w:val="595959" w:themeColor="text1" w:themeTint="A6"/>
          <w:sz w:val="20"/>
          <w:szCs w:val="20"/>
        </w:rPr>
        <w:t>.</w:t>
      </w:r>
    </w:p>
    <w:p w14:paraId="089FF77D" w14:textId="77777777" w:rsidR="00B87DC3" w:rsidRDefault="00B87DC3" w:rsidP="00AB645B">
      <w:pPr>
        <w:spacing w:after="0" w:line="240" w:lineRule="auto"/>
        <w:jc w:val="both"/>
        <w:rPr>
          <w:rFonts w:ascii="Open Sans" w:hAnsi="Open Sans" w:cs="Open Sans"/>
          <w:color w:val="595959" w:themeColor="text1" w:themeTint="A6"/>
          <w:sz w:val="20"/>
          <w:szCs w:val="20"/>
        </w:rPr>
      </w:pPr>
    </w:p>
    <w:p w14:paraId="2A599C73" w14:textId="33EAFF0E" w:rsidR="00610449" w:rsidRDefault="004716E2" w:rsidP="00A96CA7">
      <w:pPr>
        <w:spacing w:after="0" w:line="240" w:lineRule="auto"/>
        <w:jc w:val="both"/>
        <w:rPr>
          <w:rFonts w:ascii="Open Sans" w:hAnsi="Open Sans" w:cs="Open Sans"/>
          <w:color w:val="595959" w:themeColor="text1" w:themeTint="A6"/>
          <w:sz w:val="20"/>
          <w:szCs w:val="20"/>
        </w:rPr>
      </w:pPr>
      <w:bookmarkStart w:id="0" w:name="_Hlk47451845"/>
      <w:r w:rsidRPr="001E1619">
        <w:rPr>
          <w:rFonts w:ascii="Open Sans" w:hAnsi="Open Sans" w:cs="Open Sans"/>
          <w:b/>
          <w:bCs/>
          <w:color w:val="595959" w:themeColor="text1" w:themeTint="A6"/>
          <w:sz w:val="20"/>
          <w:szCs w:val="20"/>
        </w:rPr>
        <w:t>Kredito grąžinimo atidėjimas</w:t>
      </w:r>
      <w:r w:rsidR="00B81DCD" w:rsidRPr="001E1619">
        <w:rPr>
          <w:rFonts w:ascii="Open Sans" w:hAnsi="Open Sans" w:cs="Open Sans"/>
          <w:b/>
          <w:bCs/>
          <w:color w:val="595959" w:themeColor="text1" w:themeTint="A6"/>
          <w:sz w:val="20"/>
          <w:szCs w:val="20"/>
        </w:rPr>
        <w:t xml:space="preserve"> </w:t>
      </w:r>
      <w:bookmarkEnd w:id="0"/>
      <w:r w:rsidR="00B81DCD" w:rsidRPr="001E1619">
        <w:rPr>
          <w:rFonts w:ascii="Open Sans" w:hAnsi="Open Sans" w:cs="Open Sans"/>
          <w:b/>
          <w:bCs/>
          <w:color w:val="595959" w:themeColor="text1" w:themeTint="A6"/>
          <w:sz w:val="20"/>
          <w:szCs w:val="20"/>
        </w:rPr>
        <w:t>-</w:t>
      </w:r>
      <w:r>
        <w:rPr>
          <w:rFonts w:ascii="Open Sans" w:hAnsi="Open Sans" w:cs="Open Sans"/>
          <w:b/>
          <w:bCs/>
          <w:color w:val="595959" w:themeColor="text1" w:themeTint="A6"/>
          <w:sz w:val="20"/>
          <w:szCs w:val="20"/>
        </w:rPr>
        <w:t xml:space="preserve"> </w:t>
      </w:r>
      <w:r w:rsidR="009F57C4" w:rsidRPr="009F57C4">
        <w:rPr>
          <w:rFonts w:ascii="Open Sans" w:hAnsi="Open Sans" w:cs="Open Sans"/>
          <w:color w:val="595959" w:themeColor="text1" w:themeTint="A6"/>
          <w:sz w:val="20"/>
          <w:szCs w:val="20"/>
        </w:rPr>
        <w:t>gali būti atidėti kredito įmokų, išskyrus palūkanas, mokėjimai</w:t>
      </w:r>
      <w:r w:rsidR="00700EAE">
        <w:rPr>
          <w:rFonts w:ascii="Open Sans" w:hAnsi="Open Sans" w:cs="Open Sans"/>
          <w:color w:val="595959" w:themeColor="text1" w:themeTint="A6"/>
          <w:sz w:val="20"/>
          <w:szCs w:val="20"/>
        </w:rPr>
        <w:t>, k</w:t>
      </w:r>
      <w:r w:rsidR="005F6602">
        <w:rPr>
          <w:rFonts w:ascii="Open Sans" w:hAnsi="Open Sans" w:cs="Open Sans"/>
          <w:color w:val="595959" w:themeColor="text1" w:themeTint="A6"/>
          <w:sz w:val="20"/>
          <w:szCs w:val="20"/>
        </w:rPr>
        <w:t>redito gavėjo</w:t>
      </w:r>
      <w:r w:rsidR="009F57C4" w:rsidRPr="009F57C4">
        <w:rPr>
          <w:rFonts w:ascii="Open Sans" w:hAnsi="Open Sans" w:cs="Open Sans"/>
          <w:color w:val="595959" w:themeColor="text1" w:themeTint="A6"/>
          <w:sz w:val="20"/>
          <w:szCs w:val="20"/>
        </w:rPr>
        <w:t xml:space="preserve"> nurodytam, bet ne ilgesniam negu 3 mėnesių laikotarpiui. Kredito grąžinimo atidėjimas gali</w:t>
      </w:r>
      <w:r>
        <w:rPr>
          <w:rFonts w:ascii="Open Sans" w:hAnsi="Open Sans" w:cs="Open Sans"/>
          <w:color w:val="595959" w:themeColor="text1" w:themeTint="A6"/>
          <w:sz w:val="20"/>
          <w:szCs w:val="20"/>
        </w:rPr>
        <w:t xml:space="preserve"> </w:t>
      </w:r>
      <w:r w:rsidR="009F57C4" w:rsidRPr="009F57C4">
        <w:rPr>
          <w:rFonts w:ascii="Open Sans" w:hAnsi="Open Sans" w:cs="Open Sans"/>
          <w:color w:val="595959" w:themeColor="text1" w:themeTint="A6"/>
          <w:sz w:val="20"/>
          <w:szCs w:val="20"/>
        </w:rPr>
        <w:t>būti taikomas, jei   netenkina</w:t>
      </w:r>
      <w:r w:rsidR="00700EAE">
        <w:rPr>
          <w:rFonts w:ascii="Open Sans" w:hAnsi="Open Sans" w:cs="Open Sans"/>
          <w:color w:val="595959" w:themeColor="text1" w:themeTint="A6"/>
          <w:sz w:val="20"/>
          <w:szCs w:val="20"/>
        </w:rPr>
        <w:t>mi</w:t>
      </w:r>
      <w:r w:rsidR="009F57C4" w:rsidRPr="009F57C4">
        <w:rPr>
          <w:rFonts w:ascii="Open Sans" w:hAnsi="Open Sans" w:cs="Open Sans"/>
          <w:color w:val="595959" w:themeColor="text1" w:themeTint="A6"/>
          <w:sz w:val="20"/>
          <w:szCs w:val="20"/>
        </w:rPr>
        <w:t xml:space="preserve"> nustatytų kreditingumo vertinimo ir atsakingojo skolinimo</w:t>
      </w:r>
      <w:r>
        <w:rPr>
          <w:rFonts w:ascii="Open Sans" w:hAnsi="Open Sans" w:cs="Open Sans"/>
          <w:color w:val="595959" w:themeColor="text1" w:themeTint="A6"/>
          <w:sz w:val="20"/>
          <w:szCs w:val="20"/>
        </w:rPr>
        <w:t xml:space="preserve"> </w:t>
      </w:r>
      <w:r w:rsidR="009F57C4" w:rsidRPr="009F57C4">
        <w:rPr>
          <w:rFonts w:ascii="Open Sans" w:hAnsi="Open Sans" w:cs="Open Sans"/>
          <w:color w:val="595959" w:themeColor="text1" w:themeTint="A6"/>
          <w:sz w:val="20"/>
          <w:szCs w:val="20"/>
        </w:rPr>
        <w:t>reikalavim</w:t>
      </w:r>
      <w:r w:rsidR="00700EAE">
        <w:rPr>
          <w:rFonts w:ascii="Open Sans" w:hAnsi="Open Sans" w:cs="Open Sans"/>
          <w:color w:val="595959" w:themeColor="text1" w:themeTint="A6"/>
          <w:sz w:val="20"/>
          <w:szCs w:val="20"/>
        </w:rPr>
        <w:t>ai</w:t>
      </w:r>
      <w:r w:rsidR="009F57C4" w:rsidRPr="009F57C4">
        <w:rPr>
          <w:rFonts w:ascii="Open Sans" w:hAnsi="Open Sans" w:cs="Open Sans"/>
          <w:color w:val="595959" w:themeColor="text1" w:themeTint="A6"/>
          <w:sz w:val="20"/>
          <w:szCs w:val="20"/>
        </w:rPr>
        <w:t>, susij</w:t>
      </w:r>
      <w:r w:rsidR="00E14944">
        <w:rPr>
          <w:rFonts w:ascii="Open Sans" w:hAnsi="Open Sans" w:cs="Open Sans"/>
          <w:color w:val="595959" w:themeColor="text1" w:themeTint="A6"/>
          <w:sz w:val="20"/>
          <w:szCs w:val="20"/>
        </w:rPr>
        <w:t>ę</w:t>
      </w:r>
      <w:r w:rsidR="009F57C4" w:rsidRPr="009F57C4">
        <w:rPr>
          <w:rFonts w:ascii="Open Sans" w:hAnsi="Open Sans" w:cs="Open Sans"/>
          <w:color w:val="595959" w:themeColor="text1" w:themeTint="A6"/>
          <w:sz w:val="20"/>
          <w:szCs w:val="20"/>
        </w:rPr>
        <w:t xml:space="preserve"> su finansinių įsipareigojimų pagal kredito ir kitas sutartis vidutinio</w:t>
      </w:r>
      <w:r>
        <w:rPr>
          <w:rFonts w:ascii="Open Sans" w:hAnsi="Open Sans" w:cs="Open Sans"/>
          <w:color w:val="595959" w:themeColor="text1" w:themeTint="A6"/>
          <w:sz w:val="20"/>
          <w:szCs w:val="20"/>
        </w:rPr>
        <w:t xml:space="preserve"> </w:t>
      </w:r>
      <w:r w:rsidR="009F57C4" w:rsidRPr="009F57C4">
        <w:rPr>
          <w:rFonts w:ascii="Open Sans" w:hAnsi="Open Sans" w:cs="Open Sans"/>
          <w:color w:val="595959" w:themeColor="text1" w:themeTint="A6"/>
          <w:sz w:val="20"/>
          <w:szCs w:val="20"/>
        </w:rPr>
        <w:t>įmokos dydžio ir pajamų santykiu, ir yra bent viena iš šių aplinkybių:</w:t>
      </w:r>
      <w:r w:rsidR="00700EAE">
        <w:rPr>
          <w:rFonts w:ascii="Open Sans" w:hAnsi="Open Sans" w:cs="Open Sans"/>
          <w:color w:val="595959" w:themeColor="text1" w:themeTint="A6"/>
          <w:sz w:val="20"/>
          <w:szCs w:val="20"/>
        </w:rPr>
        <w:t xml:space="preserve"> </w:t>
      </w:r>
      <w:r w:rsidR="00A96CA7" w:rsidRPr="00A96CA7">
        <w:rPr>
          <w:rFonts w:ascii="Open Sans" w:hAnsi="Open Sans" w:cs="Open Sans"/>
          <w:color w:val="595959" w:themeColor="text1" w:themeTint="A6"/>
          <w:sz w:val="20"/>
          <w:szCs w:val="20"/>
        </w:rPr>
        <w:t>1) nutrūksta kredito gavėjo santuoka;</w:t>
      </w:r>
      <w:r w:rsidR="00A96CA7">
        <w:rPr>
          <w:rFonts w:ascii="Open Sans" w:hAnsi="Open Sans" w:cs="Open Sans"/>
          <w:color w:val="595959" w:themeColor="text1" w:themeTint="A6"/>
          <w:sz w:val="20"/>
          <w:szCs w:val="20"/>
        </w:rPr>
        <w:t xml:space="preserve"> </w:t>
      </w:r>
      <w:r w:rsidR="00A96CA7" w:rsidRPr="00A96CA7">
        <w:rPr>
          <w:rFonts w:ascii="Open Sans" w:hAnsi="Open Sans" w:cs="Open Sans"/>
          <w:color w:val="595959" w:themeColor="text1" w:themeTint="A6"/>
          <w:sz w:val="20"/>
          <w:szCs w:val="20"/>
        </w:rPr>
        <w:t>2) miršta kredito gavėjo sutuoktinis;</w:t>
      </w:r>
      <w:r w:rsidR="00A96CA7">
        <w:rPr>
          <w:rFonts w:ascii="Open Sans" w:hAnsi="Open Sans" w:cs="Open Sans"/>
          <w:color w:val="595959" w:themeColor="text1" w:themeTint="A6"/>
          <w:sz w:val="20"/>
          <w:szCs w:val="20"/>
        </w:rPr>
        <w:t xml:space="preserve"> </w:t>
      </w:r>
      <w:r w:rsidR="00A96CA7" w:rsidRPr="00A96CA7">
        <w:rPr>
          <w:rFonts w:ascii="Open Sans" w:hAnsi="Open Sans" w:cs="Open Sans"/>
          <w:color w:val="595959" w:themeColor="text1" w:themeTint="A6"/>
          <w:sz w:val="20"/>
          <w:szCs w:val="20"/>
        </w:rPr>
        <w:t>3) kredito gavėjas ar jo sutuoktinis tampa bedarbiu arba netenka ne mažiau kaip trečdalio pajamų</w:t>
      </w:r>
      <w:r w:rsidR="00A96CA7">
        <w:rPr>
          <w:rFonts w:ascii="Open Sans" w:hAnsi="Open Sans" w:cs="Open Sans"/>
          <w:color w:val="595959" w:themeColor="text1" w:themeTint="A6"/>
          <w:sz w:val="20"/>
          <w:szCs w:val="20"/>
        </w:rPr>
        <w:t>.</w:t>
      </w:r>
      <w:r w:rsidR="009F57C4" w:rsidRPr="009F57C4">
        <w:rPr>
          <w:rFonts w:ascii="Open Sans" w:hAnsi="Open Sans" w:cs="Open Sans"/>
          <w:color w:val="595959" w:themeColor="text1" w:themeTint="A6"/>
          <w:sz w:val="20"/>
          <w:szCs w:val="20"/>
        </w:rPr>
        <w:t xml:space="preserve"> Atidėjus kredito įmokų mokėjimą, bendru kredito sutarties šalių sutarimu perskaičiuojamos</w:t>
      </w:r>
      <w:r>
        <w:rPr>
          <w:rFonts w:ascii="Open Sans" w:hAnsi="Open Sans" w:cs="Open Sans"/>
          <w:color w:val="595959" w:themeColor="text1" w:themeTint="A6"/>
          <w:sz w:val="20"/>
          <w:szCs w:val="20"/>
        </w:rPr>
        <w:t xml:space="preserve"> </w:t>
      </w:r>
      <w:r w:rsidR="009F57C4" w:rsidRPr="009F57C4">
        <w:rPr>
          <w:rFonts w:ascii="Open Sans" w:hAnsi="Open Sans" w:cs="Open Sans"/>
          <w:color w:val="595959" w:themeColor="text1" w:themeTint="A6"/>
          <w:sz w:val="20"/>
          <w:szCs w:val="20"/>
        </w:rPr>
        <w:t>atidėtos kredito įmokos ir sudaromas atnaujintas kredito įmokų mokėjimo grafikas.</w:t>
      </w:r>
      <w:r w:rsidR="00700EAE">
        <w:rPr>
          <w:rFonts w:ascii="Open Sans" w:hAnsi="Open Sans" w:cs="Open Sans"/>
          <w:color w:val="595959" w:themeColor="text1" w:themeTint="A6"/>
          <w:sz w:val="20"/>
          <w:szCs w:val="20"/>
        </w:rPr>
        <w:t xml:space="preserve"> </w:t>
      </w:r>
    </w:p>
    <w:p w14:paraId="4EEB6865" w14:textId="77B03855" w:rsidR="004716E2" w:rsidRDefault="004716E2" w:rsidP="00700EAE">
      <w:pPr>
        <w:spacing w:after="0" w:line="240" w:lineRule="auto"/>
        <w:jc w:val="both"/>
        <w:rPr>
          <w:rFonts w:ascii="Open Sans" w:hAnsi="Open Sans" w:cs="Open Sans"/>
          <w:color w:val="595959" w:themeColor="text1" w:themeTint="A6"/>
          <w:sz w:val="20"/>
          <w:szCs w:val="20"/>
        </w:rPr>
      </w:pPr>
      <w:r>
        <w:rPr>
          <w:rFonts w:ascii="Open Sans" w:hAnsi="Open Sans" w:cs="Open Sans"/>
          <w:color w:val="595959" w:themeColor="text1" w:themeTint="A6"/>
          <w:sz w:val="20"/>
          <w:szCs w:val="20"/>
        </w:rPr>
        <w:t>K</w:t>
      </w:r>
      <w:r w:rsidRPr="004716E2">
        <w:rPr>
          <w:rFonts w:ascii="Open Sans" w:hAnsi="Open Sans" w:cs="Open Sans"/>
          <w:color w:val="595959" w:themeColor="text1" w:themeTint="A6"/>
          <w:sz w:val="20"/>
          <w:szCs w:val="20"/>
        </w:rPr>
        <w:t>redito sutarties sąlygų vykdymas neužtikrina, kad bus grąžinta bendra kredito suma pagal kredito sutartį, jeigu sutartyje numatytas bendros kredito sumos grąžinimo atidėjimas</w:t>
      </w:r>
      <w:r w:rsidR="00E14944">
        <w:rPr>
          <w:rFonts w:ascii="Open Sans" w:hAnsi="Open Sans" w:cs="Open Sans"/>
          <w:color w:val="595959" w:themeColor="text1" w:themeTint="A6"/>
          <w:sz w:val="20"/>
          <w:szCs w:val="20"/>
        </w:rPr>
        <w:t>.</w:t>
      </w:r>
    </w:p>
    <w:p w14:paraId="3847811D" w14:textId="77777777" w:rsidR="00610449" w:rsidRDefault="00610449" w:rsidP="007179E8">
      <w:pPr>
        <w:spacing w:after="0" w:line="240" w:lineRule="auto"/>
        <w:rPr>
          <w:rFonts w:ascii="Open Sans" w:hAnsi="Open Sans" w:cs="Open Sans"/>
          <w:color w:val="595959" w:themeColor="text1" w:themeTint="A6"/>
          <w:sz w:val="20"/>
          <w:szCs w:val="20"/>
        </w:rPr>
      </w:pPr>
    </w:p>
    <w:p w14:paraId="6EB412B4" w14:textId="282580ED" w:rsidR="00AB645B" w:rsidRDefault="00AB645B" w:rsidP="00AB645B">
      <w:pPr>
        <w:spacing w:after="0" w:line="240" w:lineRule="auto"/>
        <w:jc w:val="both"/>
        <w:rPr>
          <w:rFonts w:ascii="Open Sans" w:hAnsi="Open Sans" w:cs="Open Sans"/>
          <w:color w:val="595959" w:themeColor="text1" w:themeTint="A6"/>
          <w:sz w:val="20"/>
          <w:szCs w:val="20"/>
        </w:rPr>
      </w:pPr>
      <w:r w:rsidRPr="00AB645B">
        <w:rPr>
          <w:rFonts w:ascii="Open Sans" w:hAnsi="Open Sans" w:cs="Open Sans"/>
          <w:b/>
          <w:bCs/>
          <w:color w:val="595959" w:themeColor="text1" w:themeTint="A6"/>
          <w:sz w:val="20"/>
          <w:szCs w:val="20"/>
        </w:rPr>
        <w:t>S</w:t>
      </w:r>
      <w:r w:rsidR="007179E8" w:rsidRPr="00AB645B">
        <w:rPr>
          <w:rFonts w:ascii="Open Sans" w:hAnsi="Open Sans" w:cs="Open Sans"/>
          <w:b/>
          <w:bCs/>
          <w:color w:val="595959" w:themeColor="text1" w:themeTint="A6"/>
          <w:sz w:val="20"/>
          <w:szCs w:val="20"/>
        </w:rPr>
        <w:t>u kredito grąžinimu</w:t>
      </w:r>
      <w:r w:rsidR="005A1266">
        <w:rPr>
          <w:rFonts w:ascii="Open Sans" w:hAnsi="Open Sans" w:cs="Open Sans"/>
          <w:b/>
          <w:bCs/>
          <w:color w:val="595959" w:themeColor="text1" w:themeTint="A6"/>
          <w:sz w:val="20"/>
          <w:szCs w:val="20"/>
        </w:rPr>
        <w:t>,</w:t>
      </w:r>
      <w:r w:rsidR="007179E8" w:rsidRPr="00AB645B">
        <w:rPr>
          <w:rFonts w:ascii="Open Sans" w:hAnsi="Open Sans" w:cs="Open Sans"/>
          <w:b/>
          <w:bCs/>
          <w:color w:val="595959" w:themeColor="text1" w:themeTint="A6"/>
          <w:sz w:val="20"/>
          <w:szCs w:val="20"/>
        </w:rPr>
        <w:t xml:space="preserve"> nepasibaigus kredito sutarties galiojimo laikotarpiui</w:t>
      </w:r>
      <w:r w:rsidR="005A1266">
        <w:rPr>
          <w:rFonts w:ascii="Open Sans" w:hAnsi="Open Sans" w:cs="Open Sans"/>
          <w:b/>
          <w:bCs/>
          <w:color w:val="595959" w:themeColor="text1" w:themeTint="A6"/>
          <w:sz w:val="20"/>
          <w:szCs w:val="20"/>
        </w:rPr>
        <w:t>,</w:t>
      </w:r>
      <w:r w:rsidR="007179E8" w:rsidRPr="00AB645B">
        <w:rPr>
          <w:rFonts w:ascii="Open Sans" w:hAnsi="Open Sans" w:cs="Open Sans"/>
          <w:b/>
          <w:bCs/>
          <w:color w:val="595959" w:themeColor="text1" w:themeTint="A6"/>
          <w:sz w:val="20"/>
          <w:szCs w:val="20"/>
        </w:rPr>
        <w:t xml:space="preserve"> </w:t>
      </w:r>
      <w:r w:rsidR="007179E8" w:rsidRPr="005A1266">
        <w:rPr>
          <w:rFonts w:ascii="Open Sans" w:hAnsi="Open Sans" w:cs="Open Sans"/>
          <w:b/>
          <w:bCs/>
          <w:color w:val="595959" w:themeColor="text1" w:themeTint="A6"/>
          <w:sz w:val="20"/>
          <w:szCs w:val="20"/>
        </w:rPr>
        <w:t>susijusi</w:t>
      </w:r>
      <w:r w:rsidR="000368E3" w:rsidRPr="005A1266">
        <w:rPr>
          <w:rFonts w:ascii="Open Sans" w:hAnsi="Open Sans" w:cs="Open Sans"/>
          <w:b/>
          <w:bCs/>
          <w:color w:val="595959" w:themeColor="text1" w:themeTint="A6"/>
          <w:sz w:val="20"/>
          <w:szCs w:val="20"/>
        </w:rPr>
        <w:t>ų</w:t>
      </w:r>
      <w:r w:rsidR="007179E8" w:rsidRPr="005A1266">
        <w:rPr>
          <w:rFonts w:ascii="Open Sans" w:hAnsi="Open Sans" w:cs="Open Sans"/>
          <w:b/>
          <w:bCs/>
          <w:color w:val="595959" w:themeColor="text1" w:themeTint="A6"/>
          <w:sz w:val="20"/>
          <w:szCs w:val="20"/>
        </w:rPr>
        <w:t xml:space="preserve"> sąlyg</w:t>
      </w:r>
      <w:r w:rsidR="000368E3" w:rsidRPr="005A1266">
        <w:rPr>
          <w:rFonts w:ascii="Open Sans" w:hAnsi="Open Sans" w:cs="Open Sans"/>
          <w:b/>
          <w:bCs/>
          <w:color w:val="595959" w:themeColor="text1" w:themeTint="A6"/>
          <w:sz w:val="20"/>
          <w:szCs w:val="20"/>
        </w:rPr>
        <w:t>ų aprašymas</w:t>
      </w:r>
      <w:r>
        <w:rPr>
          <w:rFonts w:ascii="Open Sans" w:hAnsi="Open Sans" w:cs="Open Sans"/>
          <w:color w:val="595959" w:themeColor="text1" w:themeTint="A6"/>
          <w:sz w:val="20"/>
          <w:szCs w:val="20"/>
        </w:rPr>
        <w:t xml:space="preserve"> -</w:t>
      </w:r>
      <w:r w:rsidRPr="00AB645B">
        <w:rPr>
          <w:rFonts w:ascii="Open Sans" w:hAnsi="Open Sans" w:cs="Open Sans"/>
          <w:color w:val="595959" w:themeColor="text1" w:themeTint="A6"/>
          <w:sz w:val="20"/>
          <w:szCs w:val="20"/>
        </w:rPr>
        <w:t xml:space="preserve"> </w:t>
      </w:r>
      <w:r w:rsidRPr="00746F49">
        <w:rPr>
          <w:rFonts w:ascii="Open Sans" w:hAnsi="Open Sans" w:cs="Open Sans"/>
          <w:color w:val="595959" w:themeColor="text1" w:themeTint="A6"/>
          <w:sz w:val="20"/>
          <w:szCs w:val="20"/>
        </w:rPr>
        <w:t xml:space="preserve">kreditą, visą arba dalimis, </w:t>
      </w:r>
      <w:r>
        <w:rPr>
          <w:rFonts w:ascii="Open Sans" w:hAnsi="Open Sans" w:cs="Open Sans"/>
          <w:color w:val="595959" w:themeColor="text1" w:themeTint="A6"/>
          <w:sz w:val="20"/>
          <w:szCs w:val="20"/>
        </w:rPr>
        <w:t xml:space="preserve">galima </w:t>
      </w:r>
      <w:r w:rsidRPr="00746F49">
        <w:rPr>
          <w:rFonts w:ascii="Open Sans" w:hAnsi="Open Sans" w:cs="Open Sans"/>
          <w:color w:val="595959" w:themeColor="text1" w:themeTint="A6"/>
          <w:sz w:val="20"/>
          <w:szCs w:val="20"/>
        </w:rPr>
        <w:t>grąžinti anksčiau</w:t>
      </w:r>
      <w:r>
        <w:rPr>
          <w:rFonts w:ascii="Open Sans" w:hAnsi="Open Sans" w:cs="Open Sans"/>
          <w:color w:val="595959" w:themeColor="text1" w:themeTint="A6"/>
          <w:sz w:val="20"/>
          <w:szCs w:val="20"/>
        </w:rPr>
        <w:t xml:space="preserve"> termino</w:t>
      </w:r>
      <w:r w:rsidRPr="00746F49">
        <w:rPr>
          <w:rFonts w:ascii="Open Sans" w:hAnsi="Open Sans" w:cs="Open Sans"/>
          <w:color w:val="595959" w:themeColor="text1" w:themeTint="A6"/>
          <w:sz w:val="20"/>
          <w:szCs w:val="20"/>
        </w:rPr>
        <w:t>.</w:t>
      </w:r>
      <w:r>
        <w:rPr>
          <w:rFonts w:ascii="Open Sans" w:hAnsi="Open Sans" w:cs="Open Sans"/>
          <w:color w:val="595959" w:themeColor="text1" w:themeTint="A6"/>
          <w:sz w:val="20"/>
          <w:szCs w:val="20"/>
        </w:rPr>
        <w:t xml:space="preserve"> </w:t>
      </w:r>
      <w:r w:rsidRPr="00746F49">
        <w:rPr>
          <w:rFonts w:ascii="Open Sans" w:hAnsi="Open Sans" w:cs="Open Sans"/>
          <w:color w:val="595959" w:themeColor="text1" w:themeTint="A6"/>
          <w:sz w:val="20"/>
          <w:szCs w:val="20"/>
        </w:rPr>
        <w:t xml:space="preserve">Apie ketinimą grąžinti kreditą ar jo dalį nepasibaigus kredito sutarties galiojimo laikotarpiui </w:t>
      </w:r>
      <w:r>
        <w:rPr>
          <w:rFonts w:ascii="Open Sans" w:hAnsi="Open Sans" w:cs="Open Sans"/>
          <w:color w:val="595959" w:themeColor="text1" w:themeTint="A6"/>
          <w:sz w:val="20"/>
          <w:szCs w:val="20"/>
        </w:rPr>
        <w:t xml:space="preserve">kredito gavėjas turi </w:t>
      </w:r>
      <w:r w:rsidRPr="00746F49">
        <w:rPr>
          <w:rFonts w:ascii="Open Sans" w:hAnsi="Open Sans" w:cs="Open Sans"/>
          <w:color w:val="595959" w:themeColor="text1" w:themeTint="A6"/>
          <w:sz w:val="20"/>
          <w:szCs w:val="20"/>
        </w:rPr>
        <w:t>informuoti</w:t>
      </w:r>
      <w:r>
        <w:rPr>
          <w:rFonts w:ascii="Open Sans" w:hAnsi="Open Sans" w:cs="Open Sans"/>
          <w:color w:val="595959" w:themeColor="text1" w:themeTint="A6"/>
          <w:sz w:val="20"/>
          <w:szCs w:val="20"/>
        </w:rPr>
        <w:t xml:space="preserve"> kredito uniją</w:t>
      </w:r>
      <w:r w:rsidRPr="00746F49">
        <w:rPr>
          <w:rFonts w:ascii="Open Sans" w:hAnsi="Open Sans" w:cs="Open Sans"/>
          <w:color w:val="595959" w:themeColor="text1" w:themeTint="A6"/>
          <w:sz w:val="20"/>
          <w:szCs w:val="20"/>
        </w:rPr>
        <w:t>, kredito sutartyje nustatyta tvarka.</w:t>
      </w:r>
      <w:r>
        <w:rPr>
          <w:rFonts w:ascii="Open Sans" w:hAnsi="Open Sans" w:cs="Open Sans"/>
          <w:color w:val="595959" w:themeColor="text1" w:themeTint="A6"/>
          <w:sz w:val="20"/>
          <w:szCs w:val="20"/>
        </w:rPr>
        <w:t xml:space="preserve"> </w:t>
      </w:r>
      <w:r w:rsidRPr="00746F49">
        <w:rPr>
          <w:rFonts w:ascii="Open Sans" w:hAnsi="Open Sans" w:cs="Open Sans"/>
          <w:color w:val="595959" w:themeColor="text1" w:themeTint="A6"/>
          <w:sz w:val="20"/>
          <w:szCs w:val="20"/>
        </w:rPr>
        <w:t>Jeigu nuspr</w:t>
      </w:r>
      <w:r w:rsidR="00E14944">
        <w:rPr>
          <w:rFonts w:ascii="Open Sans" w:hAnsi="Open Sans" w:cs="Open Sans"/>
          <w:color w:val="595959" w:themeColor="text1" w:themeTint="A6"/>
          <w:sz w:val="20"/>
          <w:szCs w:val="20"/>
        </w:rPr>
        <w:t>endžiama</w:t>
      </w:r>
      <w:r w:rsidRPr="00746F49">
        <w:rPr>
          <w:rFonts w:ascii="Open Sans" w:hAnsi="Open Sans" w:cs="Open Sans"/>
          <w:color w:val="595959" w:themeColor="text1" w:themeTint="A6"/>
          <w:sz w:val="20"/>
          <w:szCs w:val="20"/>
        </w:rPr>
        <w:t xml:space="preserve"> pasinaudoti teise kreditą ar jo dalį grąžinti anksčiau, </w:t>
      </w:r>
      <w:r w:rsidR="00E14944">
        <w:rPr>
          <w:rFonts w:ascii="Open Sans" w:hAnsi="Open Sans" w:cs="Open Sans"/>
          <w:color w:val="595959" w:themeColor="text1" w:themeTint="A6"/>
          <w:sz w:val="20"/>
          <w:szCs w:val="20"/>
        </w:rPr>
        <w:t>reikės</w:t>
      </w:r>
      <w:r w:rsidRPr="00746F49">
        <w:rPr>
          <w:rFonts w:ascii="Open Sans" w:hAnsi="Open Sans" w:cs="Open Sans"/>
          <w:color w:val="595959" w:themeColor="text1" w:themeTint="A6"/>
          <w:sz w:val="20"/>
          <w:szCs w:val="20"/>
        </w:rPr>
        <w:t xml:space="preserve"> sumokėti</w:t>
      </w:r>
      <w:r>
        <w:rPr>
          <w:rFonts w:ascii="Open Sans" w:hAnsi="Open Sans" w:cs="Open Sans"/>
          <w:color w:val="595959" w:themeColor="text1" w:themeTint="A6"/>
          <w:sz w:val="20"/>
          <w:szCs w:val="20"/>
        </w:rPr>
        <w:t xml:space="preserve"> </w:t>
      </w:r>
      <w:r w:rsidRPr="00746F49">
        <w:rPr>
          <w:rFonts w:ascii="Open Sans" w:hAnsi="Open Sans" w:cs="Open Sans"/>
          <w:color w:val="595959" w:themeColor="text1" w:themeTint="A6"/>
          <w:sz w:val="20"/>
          <w:szCs w:val="20"/>
        </w:rPr>
        <w:t>sutartyje nurodyto dydžio mokestį, kuris nebus didesnis kaip 3 proc. nuo anksčiau laiko</w:t>
      </w:r>
      <w:r>
        <w:rPr>
          <w:rFonts w:ascii="Open Sans" w:hAnsi="Open Sans" w:cs="Open Sans"/>
          <w:color w:val="595959" w:themeColor="text1" w:themeTint="A6"/>
          <w:sz w:val="20"/>
          <w:szCs w:val="20"/>
        </w:rPr>
        <w:t xml:space="preserve"> </w:t>
      </w:r>
      <w:r w:rsidRPr="00746F49">
        <w:rPr>
          <w:rFonts w:ascii="Open Sans" w:hAnsi="Open Sans" w:cs="Open Sans"/>
          <w:color w:val="595959" w:themeColor="text1" w:themeTint="A6"/>
          <w:sz w:val="20"/>
          <w:szCs w:val="20"/>
        </w:rPr>
        <w:t>grąžinamos sumos dydžio. Mokestis už prieš terminą grąžinamą kreditą nereikalaujamas, kai kredit</w:t>
      </w:r>
      <w:r>
        <w:rPr>
          <w:rFonts w:ascii="Open Sans" w:hAnsi="Open Sans" w:cs="Open Sans"/>
          <w:color w:val="595959" w:themeColor="text1" w:themeTint="A6"/>
          <w:sz w:val="20"/>
          <w:szCs w:val="20"/>
        </w:rPr>
        <w:t>as</w:t>
      </w:r>
      <w:r w:rsidRPr="00746F49">
        <w:rPr>
          <w:rFonts w:ascii="Open Sans" w:hAnsi="Open Sans" w:cs="Open Sans"/>
          <w:color w:val="595959" w:themeColor="text1" w:themeTint="A6"/>
          <w:sz w:val="20"/>
          <w:szCs w:val="20"/>
        </w:rPr>
        <w:t xml:space="preserve"> ar jo dal</w:t>
      </w:r>
      <w:r>
        <w:rPr>
          <w:rFonts w:ascii="Open Sans" w:hAnsi="Open Sans" w:cs="Open Sans"/>
          <w:color w:val="595959" w:themeColor="text1" w:themeTint="A6"/>
          <w:sz w:val="20"/>
          <w:szCs w:val="20"/>
        </w:rPr>
        <w:t>is</w:t>
      </w:r>
      <w:r w:rsidRPr="00746F49">
        <w:rPr>
          <w:rFonts w:ascii="Open Sans" w:hAnsi="Open Sans" w:cs="Open Sans"/>
          <w:color w:val="595959" w:themeColor="text1" w:themeTint="A6"/>
          <w:sz w:val="20"/>
          <w:szCs w:val="20"/>
        </w:rPr>
        <w:t xml:space="preserve"> grąžina</w:t>
      </w:r>
      <w:r>
        <w:rPr>
          <w:rFonts w:ascii="Open Sans" w:hAnsi="Open Sans" w:cs="Open Sans"/>
          <w:color w:val="595959" w:themeColor="text1" w:themeTint="A6"/>
          <w:sz w:val="20"/>
          <w:szCs w:val="20"/>
        </w:rPr>
        <w:t xml:space="preserve">ma </w:t>
      </w:r>
      <w:r w:rsidRPr="00746F49">
        <w:rPr>
          <w:rFonts w:ascii="Open Sans" w:hAnsi="Open Sans" w:cs="Open Sans"/>
          <w:color w:val="595959" w:themeColor="text1" w:themeTint="A6"/>
          <w:sz w:val="20"/>
          <w:szCs w:val="20"/>
        </w:rPr>
        <w:t>kintamosios kredito palūkanų normos keitimo dieną.</w:t>
      </w:r>
      <w:r>
        <w:rPr>
          <w:rFonts w:ascii="Open Sans" w:hAnsi="Open Sans" w:cs="Open Sans"/>
          <w:color w:val="595959" w:themeColor="text1" w:themeTint="A6"/>
          <w:sz w:val="20"/>
          <w:szCs w:val="20"/>
        </w:rPr>
        <w:t xml:space="preserve"> Kredito gavėjas, </w:t>
      </w:r>
      <w:r w:rsidRPr="00746F49">
        <w:rPr>
          <w:rFonts w:ascii="Open Sans" w:hAnsi="Open Sans" w:cs="Open Sans"/>
          <w:color w:val="595959" w:themeColor="text1" w:themeTint="A6"/>
          <w:sz w:val="20"/>
          <w:szCs w:val="20"/>
        </w:rPr>
        <w:t>nuspr</w:t>
      </w:r>
      <w:r>
        <w:rPr>
          <w:rFonts w:ascii="Open Sans" w:hAnsi="Open Sans" w:cs="Open Sans"/>
          <w:color w:val="595959" w:themeColor="text1" w:themeTint="A6"/>
          <w:sz w:val="20"/>
          <w:szCs w:val="20"/>
        </w:rPr>
        <w:t>endęs</w:t>
      </w:r>
      <w:r w:rsidRPr="00746F49">
        <w:rPr>
          <w:rFonts w:ascii="Open Sans" w:hAnsi="Open Sans" w:cs="Open Sans"/>
          <w:color w:val="595959" w:themeColor="text1" w:themeTint="A6"/>
          <w:sz w:val="20"/>
          <w:szCs w:val="20"/>
        </w:rPr>
        <w:t xml:space="preserve"> kreditą grąžinti anksčiau, </w:t>
      </w:r>
      <w:r>
        <w:rPr>
          <w:rFonts w:ascii="Open Sans" w:hAnsi="Open Sans" w:cs="Open Sans"/>
          <w:color w:val="595959" w:themeColor="text1" w:themeTint="A6"/>
          <w:sz w:val="20"/>
          <w:szCs w:val="20"/>
        </w:rPr>
        <w:t>gali</w:t>
      </w:r>
      <w:r w:rsidRPr="00746F49">
        <w:rPr>
          <w:rFonts w:ascii="Open Sans" w:hAnsi="Open Sans" w:cs="Open Sans"/>
          <w:color w:val="595959" w:themeColor="text1" w:themeTint="A6"/>
          <w:sz w:val="20"/>
          <w:szCs w:val="20"/>
        </w:rPr>
        <w:t xml:space="preserve"> susisiekti su </w:t>
      </w:r>
      <w:r>
        <w:rPr>
          <w:rFonts w:ascii="Open Sans" w:hAnsi="Open Sans" w:cs="Open Sans"/>
          <w:color w:val="595959" w:themeColor="text1" w:themeTint="A6"/>
          <w:sz w:val="20"/>
          <w:szCs w:val="20"/>
        </w:rPr>
        <w:t>kredito unijos darbuotoju</w:t>
      </w:r>
      <w:r w:rsidRPr="00746F49">
        <w:rPr>
          <w:rFonts w:ascii="Open Sans" w:hAnsi="Open Sans" w:cs="Open Sans"/>
          <w:color w:val="595959" w:themeColor="text1" w:themeTint="A6"/>
          <w:sz w:val="20"/>
          <w:szCs w:val="20"/>
        </w:rPr>
        <w:t>, kad sužinot</w:t>
      </w:r>
      <w:r>
        <w:rPr>
          <w:rFonts w:ascii="Open Sans" w:hAnsi="Open Sans" w:cs="Open Sans"/>
          <w:color w:val="595959" w:themeColor="text1" w:themeTint="A6"/>
          <w:sz w:val="20"/>
          <w:szCs w:val="20"/>
        </w:rPr>
        <w:t xml:space="preserve">ų </w:t>
      </w:r>
      <w:r w:rsidRPr="00746F49">
        <w:rPr>
          <w:rFonts w:ascii="Open Sans" w:hAnsi="Open Sans" w:cs="Open Sans"/>
          <w:color w:val="595959" w:themeColor="text1" w:themeTint="A6"/>
          <w:sz w:val="20"/>
          <w:szCs w:val="20"/>
        </w:rPr>
        <w:t>konkretų kredito grąžinimo mokesčio dydį, apskaičiuotą tuo momentu.</w:t>
      </w:r>
    </w:p>
    <w:p w14:paraId="0D3E6F5E" w14:textId="2B9A87A5" w:rsidR="00AB645B" w:rsidRDefault="00AB645B" w:rsidP="00AB645B">
      <w:pPr>
        <w:spacing w:after="0" w:line="240" w:lineRule="auto"/>
        <w:jc w:val="both"/>
        <w:rPr>
          <w:rFonts w:ascii="Open Sans" w:hAnsi="Open Sans" w:cs="Open Sans"/>
          <w:color w:val="595959" w:themeColor="text1" w:themeTint="A6"/>
          <w:sz w:val="20"/>
          <w:szCs w:val="20"/>
        </w:rPr>
      </w:pPr>
      <w:r>
        <w:rPr>
          <w:rFonts w:ascii="Open Sans" w:hAnsi="Open Sans" w:cs="Open Sans"/>
          <w:color w:val="595959" w:themeColor="text1" w:themeTint="A6"/>
          <w:sz w:val="20"/>
          <w:szCs w:val="20"/>
        </w:rPr>
        <w:t>Per 14 dienų nuo kredito sutarties pasirašymo dienos</w:t>
      </w:r>
      <w:r w:rsidRPr="00AB645B">
        <w:rPr>
          <w:rFonts w:ascii="Open Sans" w:hAnsi="Open Sans" w:cs="Open Sans"/>
          <w:color w:val="595959" w:themeColor="text1" w:themeTint="A6"/>
          <w:sz w:val="20"/>
          <w:szCs w:val="20"/>
        </w:rPr>
        <w:t xml:space="preserve"> gali</w:t>
      </w:r>
      <w:r>
        <w:rPr>
          <w:rFonts w:ascii="Open Sans" w:hAnsi="Open Sans" w:cs="Open Sans"/>
          <w:color w:val="595959" w:themeColor="text1" w:themeTint="A6"/>
          <w:sz w:val="20"/>
          <w:szCs w:val="20"/>
        </w:rPr>
        <w:t>ma</w:t>
      </w:r>
      <w:r w:rsidRPr="00AB645B">
        <w:rPr>
          <w:rFonts w:ascii="Open Sans" w:hAnsi="Open Sans" w:cs="Open Sans"/>
          <w:color w:val="595959" w:themeColor="text1" w:themeTint="A6"/>
          <w:sz w:val="20"/>
          <w:szCs w:val="20"/>
        </w:rPr>
        <w:t xml:space="preserve"> pasinaudoti teise atsisakyti sutarties. </w:t>
      </w:r>
      <w:r>
        <w:rPr>
          <w:rFonts w:ascii="Open Sans" w:hAnsi="Open Sans" w:cs="Open Sans"/>
          <w:color w:val="595959" w:themeColor="text1" w:themeTint="A6"/>
          <w:sz w:val="20"/>
          <w:szCs w:val="20"/>
        </w:rPr>
        <w:t xml:space="preserve">Kredito gavėjas apie tai </w:t>
      </w:r>
      <w:r w:rsidRPr="00AB645B">
        <w:rPr>
          <w:rFonts w:ascii="Open Sans" w:hAnsi="Open Sans" w:cs="Open Sans"/>
          <w:color w:val="595959" w:themeColor="text1" w:themeTint="A6"/>
          <w:sz w:val="20"/>
          <w:szCs w:val="20"/>
        </w:rPr>
        <w:t xml:space="preserve">turi informuoti </w:t>
      </w:r>
      <w:r w:rsidR="00E14944">
        <w:rPr>
          <w:rFonts w:ascii="Open Sans" w:hAnsi="Open Sans" w:cs="Open Sans"/>
          <w:color w:val="595959" w:themeColor="text1" w:themeTint="A6"/>
          <w:sz w:val="20"/>
          <w:szCs w:val="20"/>
        </w:rPr>
        <w:t>k</w:t>
      </w:r>
      <w:r>
        <w:rPr>
          <w:rFonts w:ascii="Open Sans" w:hAnsi="Open Sans" w:cs="Open Sans"/>
          <w:color w:val="595959" w:themeColor="text1" w:themeTint="A6"/>
          <w:sz w:val="20"/>
          <w:szCs w:val="20"/>
        </w:rPr>
        <w:t>redito u</w:t>
      </w:r>
      <w:r w:rsidRPr="00AB645B">
        <w:rPr>
          <w:rFonts w:ascii="Open Sans" w:hAnsi="Open Sans" w:cs="Open Sans"/>
          <w:color w:val="595959" w:themeColor="text1" w:themeTint="A6"/>
          <w:sz w:val="20"/>
          <w:szCs w:val="20"/>
        </w:rPr>
        <w:t>niją, pateikdamas rašytinį pranešimą ir ne vėliau kaip per 30 dienų nuo pranešimo</w:t>
      </w:r>
      <w:r>
        <w:rPr>
          <w:rFonts w:ascii="Open Sans" w:hAnsi="Open Sans" w:cs="Open Sans"/>
          <w:color w:val="595959" w:themeColor="text1" w:themeTint="A6"/>
          <w:sz w:val="20"/>
          <w:szCs w:val="20"/>
        </w:rPr>
        <w:t xml:space="preserve"> kredito u</w:t>
      </w:r>
      <w:r w:rsidRPr="00AB645B">
        <w:rPr>
          <w:rFonts w:ascii="Open Sans" w:hAnsi="Open Sans" w:cs="Open Sans"/>
          <w:color w:val="595959" w:themeColor="text1" w:themeTint="A6"/>
          <w:sz w:val="20"/>
          <w:szCs w:val="20"/>
        </w:rPr>
        <w:t>nijai pateikimo dienos grąžinti visą paimtą Kreditą bei s</w:t>
      </w:r>
      <w:r>
        <w:rPr>
          <w:rFonts w:ascii="Open Sans" w:hAnsi="Open Sans" w:cs="Open Sans"/>
          <w:color w:val="595959" w:themeColor="text1" w:themeTint="A6"/>
          <w:sz w:val="20"/>
          <w:szCs w:val="20"/>
        </w:rPr>
        <w:t>u</w:t>
      </w:r>
      <w:r w:rsidRPr="00AB645B">
        <w:rPr>
          <w:rFonts w:ascii="Open Sans" w:hAnsi="Open Sans" w:cs="Open Sans"/>
          <w:color w:val="595959" w:themeColor="text1" w:themeTint="A6"/>
          <w:sz w:val="20"/>
          <w:szCs w:val="20"/>
        </w:rPr>
        <w:t>mokėti palūkanas, susikaupusias nuo</w:t>
      </w:r>
      <w:r>
        <w:rPr>
          <w:rFonts w:ascii="Open Sans" w:hAnsi="Open Sans" w:cs="Open Sans"/>
          <w:color w:val="595959" w:themeColor="text1" w:themeTint="A6"/>
          <w:sz w:val="20"/>
          <w:szCs w:val="20"/>
        </w:rPr>
        <w:t xml:space="preserve"> </w:t>
      </w:r>
      <w:r w:rsidRPr="00AB645B">
        <w:rPr>
          <w:rFonts w:ascii="Open Sans" w:hAnsi="Open Sans" w:cs="Open Sans"/>
          <w:color w:val="595959" w:themeColor="text1" w:themeTint="A6"/>
          <w:sz w:val="20"/>
          <w:szCs w:val="20"/>
        </w:rPr>
        <w:t xml:space="preserve">dienos, kurią į </w:t>
      </w:r>
      <w:r>
        <w:rPr>
          <w:rFonts w:ascii="Open Sans" w:hAnsi="Open Sans" w:cs="Open Sans"/>
          <w:color w:val="595959" w:themeColor="text1" w:themeTint="A6"/>
          <w:sz w:val="20"/>
          <w:szCs w:val="20"/>
        </w:rPr>
        <w:t>kredito gavėjo</w:t>
      </w:r>
      <w:r w:rsidRPr="00AB645B">
        <w:rPr>
          <w:rFonts w:ascii="Open Sans" w:hAnsi="Open Sans" w:cs="Open Sans"/>
          <w:color w:val="595959" w:themeColor="text1" w:themeTint="A6"/>
          <w:sz w:val="20"/>
          <w:szCs w:val="20"/>
        </w:rPr>
        <w:t xml:space="preserve"> banko sąskaitą buvo pervestos </w:t>
      </w:r>
      <w:r w:rsidR="00E14944">
        <w:rPr>
          <w:rFonts w:ascii="Open Sans" w:hAnsi="Open Sans" w:cs="Open Sans"/>
          <w:color w:val="595959" w:themeColor="text1" w:themeTint="A6"/>
          <w:sz w:val="20"/>
          <w:szCs w:val="20"/>
        </w:rPr>
        <w:t>k</w:t>
      </w:r>
      <w:r w:rsidRPr="00AB645B">
        <w:rPr>
          <w:rFonts w:ascii="Open Sans" w:hAnsi="Open Sans" w:cs="Open Sans"/>
          <w:color w:val="595959" w:themeColor="text1" w:themeTint="A6"/>
          <w:sz w:val="20"/>
          <w:szCs w:val="20"/>
        </w:rPr>
        <w:t xml:space="preserve">redito lėšos, iki dienos, kurią </w:t>
      </w:r>
      <w:r w:rsidR="00E14944">
        <w:rPr>
          <w:rFonts w:ascii="Open Sans" w:hAnsi="Open Sans" w:cs="Open Sans"/>
          <w:color w:val="595959" w:themeColor="text1" w:themeTint="A6"/>
          <w:sz w:val="20"/>
          <w:szCs w:val="20"/>
        </w:rPr>
        <w:t>k</w:t>
      </w:r>
      <w:r w:rsidRPr="00AB645B">
        <w:rPr>
          <w:rFonts w:ascii="Open Sans" w:hAnsi="Open Sans" w:cs="Open Sans"/>
          <w:color w:val="595959" w:themeColor="text1" w:themeTint="A6"/>
          <w:sz w:val="20"/>
          <w:szCs w:val="20"/>
        </w:rPr>
        <w:t>reditas</w:t>
      </w:r>
      <w:r>
        <w:rPr>
          <w:rFonts w:ascii="Open Sans" w:hAnsi="Open Sans" w:cs="Open Sans"/>
          <w:color w:val="595959" w:themeColor="text1" w:themeTint="A6"/>
          <w:sz w:val="20"/>
          <w:szCs w:val="20"/>
        </w:rPr>
        <w:t xml:space="preserve"> </w:t>
      </w:r>
      <w:r w:rsidRPr="00AB645B">
        <w:rPr>
          <w:rFonts w:ascii="Open Sans" w:hAnsi="Open Sans" w:cs="Open Sans"/>
          <w:color w:val="595959" w:themeColor="text1" w:themeTint="A6"/>
          <w:sz w:val="20"/>
          <w:szCs w:val="20"/>
        </w:rPr>
        <w:t>grąžinamas.</w:t>
      </w:r>
    </w:p>
    <w:p w14:paraId="41C95400" w14:textId="2F4312E3" w:rsidR="007179E8" w:rsidRPr="007179E8" w:rsidRDefault="007179E8" w:rsidP="007179E8">
      <w:pPr>
        <w:spacing w:after="0" w:line="240" w:lineRule="auto"/>
        <w:rPr>
          <w:rFonts w:ascii="Open Sans" w:hAnsi="Open Sans" w:cs="Open Sans"/>
          <w:color w:val="595959" w:themeColor="text1" w:themeTint="A6"/>
          <w:sz w:val="20"/>
          <w:szCs w:val="20"/>
        </w:rPr>
      </w:pPr>
    </w:p>
    <w:p w14:paraId="176432CD" w14:textId="00BFFD97" w:rsidR="000F4409" w:rsidRDefault="00763D3F" w:rsidP="00CC305F">
      <w:pPr>
        <w:spacing w:after="0" w:line="240" w:lineRule="auto"/>
        <w:jc w:val="both"/>
        <w:rPr>
          <w:rFonts w:ascii="Open Sans" w:hAnsi="Open Sans" w:cs="Open Sans"/>
          <w:color w:val="595959" w:themeColor="text1" w:themeTint="A6"/>
          <w:sz w:val="20"/>
          <w:szCs w:val="20"/>
        </w:rPr>
      </w:pPr>
      <w:r>
        <w:rPr>
          <w:rFonts w:ascii="Open Sans" w:hAnsi="Open Sans" w:cs="Open Sans"/>
          <w:b/>
          <w:bCs/>
          <w:color w:val="595959" w:themeColor="text1" w:themeTint="A6"/>
          <w:sz w:val="20"/>
          <w:szCs w:val="20"/>
        </w:rPr>
        <w:t>Įkeičiamo turto</w:t>
      </w:r>
      <w:r w:rsidR="007179E8" w:rsidRPr="000F4409">
        <w:rPr>
          <w:rFonts w:ascii="Open Sans" w:hAnsi="Open Sans" w:cs="Open Sans"/>
          <w:b/>
          <w:bCs/>
          <w:color w:val="595959" w:themeColor="text1" w:themeTint="A6"/>
          <w:sz w:val="20"/>
          <w:szCs w:val="20"/>
        </w:rPr>
        <w:t xml:space="preserve"> vertinimas</w:t>
      </w:r>
      <w:r>
        <w:rPr>
          <w:rFonts w:ascii="Open Sans" w:hAnsi="Open Sans" w:cs="Open Sans"/>
          <w:b/>
          <w:bCs/>
          <w:color w:val="595959" w:themeColor="text1" w:themeTint="A6"/>
          <w:sz w:val="20"/>
          <w:szCs w:val="20"/>
        </w:rPr>
        <w:t xml:space="preserve"> - </w:t>
      </w:r>
      <w:r>
        <w:rPr>
          <w:rFonts w:ascii="Open Sans" w:hAnsi="Open Sans" w:cs="Open Sans"/>
          <w:color w:val="595959" w:themeColor="text1" w:themeTint="A6"/>
          <w:sz w:val="20"/>
          <w:szCs w:val="20"/>
        </w:rPr>
        <w:t>k</w:t>
      </w:r>
      <w:r w:rsidRPr="00763D3F">
        <w:rPr>
          <w:rFonts w:ascii="Open Sans" w:hAnsi="Open Sans" w:cs="Open Sans"/>
          <w:color w:val="595959" w:themeColor="text1" w:themeTint="A6"/>
          <w:sz w:val="20"/>
          <w:szCs w:val="20"/>
        </w:rPr>
        <w:t xml:space="preserve">redito gavėjas turi teisę pasirinkti nepriklausomą turto arba verslo vertinimo įmonę ar turto arba verslo vertintoją, jeigu </w:t>
      </w:r>
      <w:r>
        <w:rPr>
          <w:rFonts w:ascii="Open Sans" w:hAnsi="Open Sans" w:cs="Open Sans"/>
          <w:color w:val="595959" w:themeColor="text1" w:themeTint="A6"/>
          <w:sz w:val="20"/>
          <w:szCs w:val="20"/>
        </w:rPr>
        <w:t>kredito u</w:t>
      </w:r>
      <w:r w:rsidRPr="00763D3F">
        <w:rPr>
          <w:rFonts w:ascii="Open Sans" w:hAnsi="Open Sans" w:cs="Open Sans"/>
          <w:color w:val="595959" w:themeColor="text1" w:themeTint="A6"/>
          <w:sz w:val="20"/>
          <w:szCs w:val="20"/>
        </w:rPr>
        <w:t>nija reikalauja atlikti</w:t>
      </w:r>
      <w:r>
        <w:rPr>
          <w:rFonts w:ascii="Open Sans" w:hAnsi="Open Sans" w:cs="Open Sans"/>
          <w:color w:val="595959" w:themeColor="text1" w:themeTint="A6"/>
          <w:sz w:val="20"/>
          <w:szCs w:val="20"/>
        </w:rPr>
        <w:t xml:space="preserve"> </w:t>
      </w:r>
      <w:r w:rsidRPr="00763D3F">
        <w:rPr>
          <w:rFonts w:ascii="Open Sans" w:hAnsi="Open Sans" w:cs="Open Sans"/>
          <w:color w:val="595959" w:themeColor="text1" w:themeTint="A6"/>
          <w:sz w:val="20"/>
          <w:szCs w:val="20"/>
        </w:rPr>
        <w:t>nepriklausomą įkeičiamo nekilnojamojo turto vertinimą. Kredito gavėjo pasirinkta nepriklausoma turto arba verslo vertinimo įmonė ar nepriklausomas</w:t>
      </w:r>
      <w:r>
        <w:rPr>
          <w:rFonts w:ascii="Open Sans" w:hAnsi="Open Sans" w:cs="Open Sans"/>
          <w:color w:val="595959" w:themeColor="text1" w:themeTint="A6"/>
          <w:sz w:val="20"/>
          <w:szCs w:val="20"/>
        </w:rPr>
        <w:t xml:space="preserve"> </w:t>
      </w:r>
      <w:r w:rsidRPr="00763D3F">
        <w:rPr>
          <w:rFonts w:ascii="Open Sans" w:hAnsi="Open Sans" w:cs="Open Sans"/>
          <w:color w:val="595959" w:themeColor="text1" w:themeTint="A6"/>
          <w:sz w:val="20"/>
          <w:szCs w:val="20"/>
        </w:rPr>
        <w:t>turto arba verslo vertintojas turi būti Lietuvos Respublikos turto ir verslo vertinimo pagrindų įstatymo nustatyta tvarka įrašytas į Išorės turto arba verslo</w:t>
      </w:r>
      <w:r>
        <w:rPr>
          <w:rFonts w:ascii="Open Sans" w:hAnsi="Open Sans" w:cs="Open Sans"/>
          <w:color w:val="595959" w:themeColor="text1" w:themeTint="A6"/>
          <w:sz w:val="20"/>
          <w:szCs w:val="20"/>
        </w:rPr>
        <w:t xml:space="preserve"> </w:t>
      </w:r>
      <w:r w:rsidRPr="00763D3F">
        <w:rPr>
          <w:rFonts w:ascii="Open Sans" w:hAnsi="Open Sans" w:cs="Open Sans"/>
          <w:color w:val="595959" w:themeColor="text1" w:themeTint="A6"/>
          <w:sz w:val="20"/>
          <w:szCs w:val="20"/>
        </w:rPr>
        <w:t>vertinimo veikla turinčių teisę verstis asmenų sąrašą ir turėti teisę vertinti nekilnojamąjį turtą, arba pasirinktas kitos valstybės narės turto arba verslo</w:t>
      </w:r>
      <w:r>
        <w:rPr>
          <w:rFonts w:ascii="Open Sans" w:hAnsi="Open Sans" w:cs="Open Sans"/>
          <w:color w:val="595959" w:themeColor="text1" w:themeTint="A6"/>
          <w:sz w:val="20"/>
          <w:szCs w:val="20"/>
        </w:rPr>
        <w:t xml:space="preserve"> </w:t>
      </w:r>
      <w:r w:rsidRPr="00763D3F">
        <w:rPr>
          <w:rFonts w:ascii="Open Sans" w:hAnsi="Open Sans" w:cs="Open Sans"/>
          <w:color w:val="595959" w:themeColor="text1" w:themeTint="A6"/>
          <w:sz w:val="20"/>
          <w:szCs w:val="20"/>
        </w:rPr>
        <w:t>vertintojas ar turto arba verslo vertinimo įmonė, kuri laikinai arba vienkartinai turi teisę vertinti nekilnojamąjį turtą Lietuvos Respublikoje. Unija turi teisę</w:t>
      </w:r>
      <w:r>
        <w:rPr>
          <w:rFonts w:ascii="Open Sans" w:hAnsi="Open Sans" w:cs="Open Sans"/>
          <w:color w:val="595959" w:themeColor="text1" w:themeTint="A6"/>
          <w:sz w:val="20"/>
          <w:szCs w:val="20"/>
        </w:rPr>
        <w:t xml:space="preserve"> </w:t>
      </w:r>
      <w:r w:rsidRPr="00763D3F">
        <w:rPr>
          <w:rFonts w:ascii="Open Sans" w:hAnsi="Open Sans" w:cs="Open Sans"/>
          <w:color w:val="595959" w:themeColor="text1" w:themeTint="A6"/>
          <w:sz w:val="20"/>
          <w:szCs w:val="20"/>
        </w:rPr>
        <w:t xml:space="preserve">motyvuotai nesutikti su </w:t>
      </w:r>
      <w:r w:rsidR="007A2586">
        <w:rPr>
          <w:rFonts w:ascii="Open Sans" w:hAnsi="Open Sans" w:cs="Open Sans"/>
          <w:color w:val="595959" w:themeColor="text1" w:themeTint="A6"/>
          <w:sz w:val="20"/>
          <w:szCs w:val="20"/>
        </w:rPr>
        <w:t>k</w:t>
      </w:r>
      <w:r w:rsidRPr="00763D3F">
        <w:rPr>
          <w:rFonts w:ascii="Open Sans" w:hAnsi="Open Sans" w:cs="Open Sans"/>
          <w:color w:val="595959" w:themeColor="text1" w:themeTint="A6"/>
          <w:sz w:val="20"/>
          <w:szCs w:val="20"/>
        </w:rPr>
        <w:t>redito gavėjo pasirinkta nepriklausoma turto arba verslo vertinimo įmone arba nepriklausomu turto arba verslo vertintoju.</w:t>
      </w:r>
      <w:r>
        <w:rPr>
          <w:rFonts w:ascii="Open Sans" w:hAnsi="Open Sans" w:cs="Open Sans"/>
          <w:color w:val="595959" w:themeColor="text1" w:themeTint="A6"/>
          <w:sz w:val="20"/>
          <w:szCs w:val="20"/>
        </w:rPr>
        <w:t xml:space="preserve"> </w:t>
      </w:r>
      <w:r w:rsidRPr="00763D3F">
        <w:rPr>
          <w:rFonts w:ascii="Open Sans" w:hAnsi="Open Sans" w:cs="Open Sans"/>
          <w:color w:val="595959" w:themeColor="text1" w:themeTint="A6"/>
          <w:sz w:val="20"/>
          <w:szCs w:val="20"/>
        </w:rPr>
        <w:t xml:space="preserve">Kredito davėjas turi teisę reikalauti, kad Kredito gavėjas padengtų </w:t>
      </w:r>
      <w:r>
        <w:rPr>
          <w:rFonts w:ascii="Open Sans" w:hAnsi="Open Sans" w:cs="Open Sans"/>
          <w:color w:val="595959" w:themeColor="text1" w:themeTint="A6"/>
          <w:sz w:val="20"/>
          <w:szCs w:val="20"/>
        </w:rPr>
        <w:t>įkeičiamo</w:t>
      </w:r>
      <w:r w:rsidRPr="00763D3F">
        <w:rPr>
          <w:rFonts w:ascii="Open Sans" w:hAnsi="Open Sans" w:cs="Open Sans"/>
          <w:color w:val="595959" w:themeColor="text1" w:themeTint="A6"/>
          <w:sz w:val="20"/>
          <w:szCs w:val="20"/>
        </w:rPr>
        <w:t xml:space="preserve"> turto vertinimo</w:t>
      </w:r>
      <w:r>
        <w:rPr>
          <w:rFonts w:ascii="Open Sans" w:hAnsi="Open Sans" w:cs="Open Sans"/>
          <w:color w:val="595959" w:themeColor="text1" w:themeTint="A6"/>
          <w:sz w:val="20"/>
          <w:szCs w:val="20"/>
        </w:rPr>
        <w:t xml:space="preserve"> </w:t>
      </w:r>
      <w:r w:rsidRPr="00763D3F">
        <w:rPr>
          <w:rFonts w:ascii="Open Sans" w:hAnsi="Open Sans" w:cs="Open Sans"/>
          <w:color w:val="595959" w:themeColor="text1" w:themeTint="A6"/>
          <w:sz w:val="20"/>
          <w:szCs w:val="20"/>
        </w:rPr>
        <w:t xml:space="preserve">išlaidas tik  šiais atvejais: kai </w:t>
      </w:r>
      <w:r w:rsidR="00E325D0">
        <w:rPr>
          <w:rFonts w:ascii="Open Sans" w:hAnsi="Open Sans" w:cs="Open Sans"/>
          <w:color w:val="595959" w:themeColor="text1" w:themeTint="A6"/>
          <w:sz w:val="20"/>
          <w:szCs w:val="20"/>
        </w:rPr>
        <w:t>k</w:t>
      </w:r>
      <w:r w:rsidRPr="00763D3F">
        <w:rPr>
          <w:rFonts w:ascii="Open Sans" w:hAnsi="Open Sans" w:cs="Open Sans"/>
          <w:color w:val="595959" w:themeColor="text1" w:themeTint="A6"/>
          <w:sz w:val="20"/>
          <w:szCs w:val="20"/>
        </w:rPr>
        <w:t xml:space="preserve">redito gavėjas prašo suteikti </w:t>
      </w:r>
      <w:r w:rsidR="00E325D0">
        <w:rPr>
          <w:rFonts w:ascii="Open Sans" w:hAnsi="Open Sans" w:cs="Open Sans"/>
          <w:color w:val="595959" w:themeColor="text1" w:themeTint="A6"/>
          <w:sz w:val="20"/>
          <w:szCs w:val="20"/>
        </w:rPr>
        <w:t>k</w:t>
      </w:r>
      <w:r w:rsidRPr="00763D3F">
        <w:rPr>
          <w:rFonts w:ascii="Open Sans" w:hAnsi="Open Sans" w:cs="Open Sans"/>
          <w:color w:val="595959" w:themeColor="text1" w:themeTint="A6"/>
          <w:sz w:val="20"/>
          <w:szCs w:val="20"/>
        </w:rPr>
        <w:t xml:space="preserve">reditą arba padidinti </w:t>
      </w:r>
      <w:r w:rsidR="00E325D0">
        <w:rPr>
          <w:rFonts w:ascii="Open Sans" w:hAnsi="Open Sans" w:cs="Open Sans"/>
          <w:color w:val="595959" w:themeColor="text1" w:themeTint="A6"/>
          <w:sz w:val="20"/>
          <w:szCs w:val="20"/>
        </w:rPr>
        <w:t>k</w:t>
      </w:r>
      <w:r w:rsidRPr="00763D3F">
        <w:rPr>
          <w:rFonts w:ascii="Open Sans" w:hAnsi="Open Sans" w:cs="Open Sans"/>
          <w:color w:val="595959" w:themeColor="text1" w:themeTint="A6"/>
          <w:sz w:val="20"/>
          <w:szCs w:val="20"/>
        </w:rPr>
        <w:t xml:space="preserve">redito sumą; arba kai įkeisto nekilnojamojo turto vertė </w:t>
      </w:r>
      <w:r>
        <w:rPr>
          <w:rFonts w:ascii="Open Sans" w:hAnsi="Open Sans" w:cs="Open Sans"/>
          <w:color w:val="595959" w:themeColor="text1" w:themeTint="A6"/>
          <w:sz w:val="20"/>
          <w:szCs w:val="20"/>
        </w:rPr>
        <w:t>kredito s</w:t>
      </w:r>
      <w:r w:rsidRPr="00763D3F">
        <w:rPr>
          <w:rFonts w:ascii="Open Sans" w:hAnsi="Open Sans" w:cs="Open Sans"/>
          <w:color w:val="595959" w:themeColor="text1" w:themeTint="A6"/>
          <w:sz w:val="20"/>
          <w:szCs w:val="20"/>
        </w:rPr>
        <w:t>utarties</w:t>
      </w:r>
      <w:r>
        <w:rPr>
          <w:rFonts w:ascii="Open Sans" w:hAnsi="Open Sans" w:cs="Open Sans"/>
          <w:color w:val="595959" w:themeColor="text1" w:themeTint="A6"/>
          <w:sz w:val="20"/>
          <w:szCs w:val="20"/>
        </w:rPr>
        <w:t xml:space="preserve"> </w:t>
      </w:r>
      <w:r w:rsidRPr="00763D3F">
        <w:rPr>
          <w:rFonts w:ascii="Open Sans" w:hAnsi="Open Sans" w:cs="Open Sans"/>
          <w:color w:val="595959" w:themeColor="text1" w:themeTint="A6"/>
          <w:sz w:val="20"/>
          <w:szCs w:val="20"/>
        </w:rPr>
        <w:t xml:space="preserve">galiojimo laikotarpiu sumažėja dėl Kredito gavėjo ar įkaito davėjo kaltės; arba kai </w:t>
      </w:r>
      <w:r w:rsidR="00E325D0">
        <w:rPr>
          <w:rFonts w:ascii="Open Sans" w:hAnsi="Open Sans" w:cs="Open Sans"/>
          <w:color w:val="595959" w:themeColor="text1" w:themeTint="A6"/>
          <w:sz w:val="20"/>
          <w:szCs w:val="20"/>
        </w:rPr>
        <w:t>k</w:t>
      </w:r>
      <w:r w:rsidRPr="00763D3F">
        <w:rPr>
          <w:rFonts w:ascii="Open Sans" w:hAnsi="Open Sans" w:cs="Open Sans"/>
          <w:color w:val="595959" w:themeColor="text1" w:themeTint="A6"/>
          <w:sz w:val="20"/>
          <w:szCs w:val="20"/>
        </w:rPr>
        <w:t xml:space="preserve">redito </w:t>
      </w:r>
      <w:r w:rsidR="00CC305F">
        <w:rPr>
          <w:rFonts w:ascii="Open Sans" w:hAnsi="Open Sans" w:cs="Open Sans"/>
          <w:color w:val="595959" w:themeColor="text1" w:themeTint="A6"/>
          <w:sz w:val="20"/>
          <w:szCs w:val="20"/>
        </w:rPr>
        <w:t>g</w:t>
      </w:r>
      <w:r w:rsidRPr="00763D3F">
        <w:rPr>
          <w:rFonts w:ascii="Open Sans" w:hAnsi="Open Sans" w:cs="Open Sans"/>
          <w:color w:val="595959" w:themeColor="text1" w:themeTint="A6"/>
          <w:sz w:val="20"/>
          <w:szCs w:val="20"/>
        </w:rPr>
        <w:t xml:space="preserve">avėjas siekia pakeisti esmines </w:t>
      </w:r>
      <w:r w:rsidR="00E325D0">
        <w:rPr>
          <w:rFonts w:ascii="Open Sans" w:hAnsi="Open Sans" w:cs="Open Sans"/>
          <w:color w:val="595959" w:themeColor="text1" w:themeTint="A6"/>
          <w:sz w:val="20"/>
          <w:szCs w:val="20"/>
        </w:rPr>
        <w:t>s</w:t>
      </w:r>
      <w:r w:rsidRPr="00763D3F">
        <w:rPr>
          <w:rFonts w:ascii="Open Sans" w:hAnsi="Open Sans" w:cs="Open Sans"/>
          <w:color w:val="595959" w:themeColor="text1" w:themeTint="A6"/>
          <w:sz w:val="20"/>
          <w:szCs w:val="20"/>
        </w:rPr>
        <w:t>utarties sąlygas.</w:t>
      </w:r>
      <w:r>
        <w:rPr>
          <w:rFonts w:ascii="Open Sans" w:hAnsi="Open Sans" w:cs="Open Sans"/>
          <w:color w:val="595959" w:themeColor="text1" w:themeTint="A6"/>
          <w:sz w:val="20"/>
          <w:szCs w:val="20"/>
        </w:rPr>
        <w:t xml:space="preserve"> </w:t>
      </w:r>
      <w:r w:rsidRPr="00763D3F">
        <w:rPr>
          <w:rFonts w:ascii="Open Sans" w:hAnsi="Open Sans" w:cs="Open Sans"/>
          <w:color w:val="595959" w:themeColor="text1" w:themeTint="A6"/>
          <w:sz w:val="20"/>
          <w:szCs w:val="20"/>
        </w:rPr>
        <w:t xml:space="preserve">Jeigu </w:t>
      </w:r>
      <w:r>
        <w:rPr>
          <w:rFonts w:ascii="Open Sans" w:hAnsi="Open Sans" w:cs="Open Sans"/>
          <w:color w:val="595959" w:themeColor="text1" w:themeTint="A6"/>
          <w:sz w:val="20"/>
          <w:szCs w:val="20"/>
        </w:rPr>
        <w:t>k</w:t>
      </w:r>
      <w:r w:rsidRPr="00763D3F">
        <w:rPr>
          <w:rFonts w:ascii="Open Sans" w:hAnsi="Open Sans" w:cs="Open Sans"/>
          <w:color w:val="595959" w:themeColor="text1" w:themeTint="A6"/>
          <w:sz w:val="20"/>
          <w:szCs w:val="20"/>
        </w:rPr>
        <w:t xml:space="preserve">redito gavėjas prašo suteikti kreditą arba padidinti bendrą kredito sumą ir bendra </w:t>
      </w:r>
      <w:r>
        <w:rPr>
          <w:rFonts w:ascii="Open Sans" w:hAnsi="Open Sans" w:cs="Open Sans"/>
          <w:color w:val="595959" w:themeColor="text1" w:themeTint="A6"/>
          <w:sz w:val="20"/>
          <w:szCs w:val="20"/>
        </w:rPr>
        <w:t>k</w:t>
      </w:r>
      <w:r w:rsidRPr="00763D3F">
        <w:rPr>
          <w:rFonts w:ascii="Open Sans" w:hAnsi="Open Sans" w:cs="Open Sans"/>
          <w:color w:val="595959" w:themeColor="text1" w:themeTint="A6"/>
          <w:sz w:val="20"/>
          <w:szCs w:val="20"/>
        </w:rPr>
        <w:t xml:space="preserve">redito suma išmokama dalimis, </w:t>
      </w:r>
      <w:r>
        <w:rPr>
          <w:rFonts w:ascii="Open Sans" w:hAnsi="Open Sans" w:cs="Open Sans"/>
          <w:color w:val="595959" w:themeColor="text1" w:themeTint="A6"/>
          <w:sz w:val="20"/>
          <w:szCs w:val="20"/>
        </w:rPr>
        <w:t>kredito u</w:t>
      </w:r>
      <w:r w:rsidRPr="00763D3F">
        <w:rPr>
          <w:rFonts w:ascii="Open Sans" w:hAnsi="Open Sans" w:cs="Open Sans"/>
          <w:color w:val="595959" w:themeColor="text1" w:themeTint="A6"/>
          <w:sz w:val="20"/>
          <w:szCs w:val="20"/>
        </w:rPr>
        <w:t>nija turi teisę</w:t>
      </w:r>
      <w:r>
        <w:rPr>
          <w:rFonts w:ascii="Open Sans" w:hAnsi="Open Sans" w:cs="Open Sans"/>
          <w:color w:val="595959" w:themeColor="text1" w:themeTint="A6"/>
          <w:sz w:val="20"/>
          <w:szCs w:val="20"/>
        </w:rPr>
        <w:t xml:space="preserve"> </w:t>
      </w:r>
      <w:r w:rsidRPr="00763D3F">
        <w:rPr>
          <w:rFonts w:ascii="Open Sans" w:hAnsi="Open Sans" w:cs="Open Sans"/>
          <w:color w:val="595959" w:themeColor="text1" w:themeTint="A6"/>
          <w:sz w:val="20"/>
          <w:szCs w:val="20"/>
        </w:rPr>
        <w:t xml:space="preserve">reikalauti nepriklausomo (išorės) nekilnojamojo turto, kurio hipoteka užtikrinamas ir (arba) užtikrintas įsipareigojimų pagal </w:t>
      </w:r>
      <w:r w:rsidR="00E325D0">
        <w:rPr>
          <w:rFonts w:ascii="Open Sans" w:hAnsi="Open Sans" w:cs="Open Sans"/>
          <w:color w:val="595959" w:themeColor="text1" w:themeTint="A6"/>
          <w:sz w:val="20"/>
          <w:szCs w:val="20"/>
        </w:rPr>
        <w:t>k</w:t>
      </w:r>
      <w:r w:rsidRPr="00763D3F">
        <w:rPr>
          <w:rFonts w:ascii="Open Sans" w:hAnsi="Open Sans" w:cs="Open Sans"/>
          <w:color w:val="595959" w:themeColor="text1" w:themeTint="A6"/>
          <w:sz w:val="20"/>
          <w:szCs w:val="20"/>
        </w:rPr>
        <w:t xml:space="preserve">redito </w:t>
      </w:r>
      <w:r w:rsidR="00E325D0">
        <w:rPr>
          <w:rFonts w:ascii="Open Sans" w:hAnsi="Open Sans" w:cs="Open Sans"/>
          <w:color w:val="595959" w:themeColor="text1" w:themeTint="A6"/>
          <w:sz w:val="20"/>
          <w:szCs w:val="20"/>
        </w:rPr>
        <w:t>s</w:t>
      </w:r>
      <w:r w:rsidRPr="00763D3F">
        <w:rPr>
          <w:rFonts w:ascii="Open Sans" w:hAnsi="Open Sans" w:cs="Open Sans"/>
          <w:color w:val="595959" w:themeColor="text1" w:themeTint="A6"/>
          <w:sz w:val="20"/>
          <w:szCs w:val="20"/>
        </w:rPr>
        <w:t>utartį įvykdymas,</w:t>
      </w:r>
      <w:r>
        <w:rPr>
          <w:rFonts w:ascii="Open Sans" w:hAnsi="Open Sans" w:cs="Open Sans"/>
          <w:color w:val="595959" w:themeColor="text1" w:themeTint="A6"/>
          <w:sz w:val="20"/>
          <w:szCs w:val="20"/>
        </w:rPr>
        <w:t xml:space="preserve"> </w:t>
      </w:r>
      <w:r w:rsidRPr="00763D3F">
        <w:rPr>
          <w:rFonts w:ascii="Open Sans" w:hAnsi="Open Sans" w:cs="Open Sans"/>
          <w:color w:val="595959" w:themeColor="text1" w:themeTint="A6"/>
          <w:sz w:val="20"/>
          <w:szCs w:val="20"/>
        </w:rPr>
        <w:t xml:space="preserve">vertinimo prieš kiekvieną bendros </w:t>
      </w:r>
      <w:r w:rsidR="002F1607">
        <w:rPr>
          <w:rFonts w:ascii="Open Sans" w:hAnsi="Open Sans" w:cs="Open Sans"/>
          <w:color w:val="595959" w:themeColor="text1" w:themeTint="A6"/>
          <w:sz w:val="20"/>
          <w:szCs w:val="20"/>
        </w:rPr>
        <w:t>k</w:t>
      </w:r>
      <w:r w:rsidRPr="00763D3F">
        <w:rPr>
          <w:rFonts w:ascii="Open Sans" w:hAnsi="Open Sans" w:cs="Open Sans"/>
          <w:color w:val="595959" w:themeColor="text1" w:themeTint="A6"/>
          <w:sz w:val="20"/>
          <w:szCs w:val="20"/>
        </w:rPr>
        <w:t>redito sumos dalies išmokėjimą.</w:t>
      </w:r>
    </w:p>
    <w:p w14:paraId="2ED06D77" w14:textId="77777777" w:rsidR="00E55813" w:rsidRPr="007179E8" w:rsidRDefault="00E55813" w:rsidP="007179E8">
      <w:pPr>
        <w:spacing w:after="0" w:line="240" w:lineRule="auto"/>
        <w:rPr>
          <w:rFonts w:ascii="Open Sans" w:hAnsi="Open Sans" w:cs="Open Sans"/>
          <w:color w:val="595959" w:themeColor="text1" w:themeTint="A6"/>
          <w:sz w:val="20"/>
          <w:szCs w:val="20"/>
        </w:rPr>
      </w:pPr>
    </w:p>
    <w:p w14:paraId="2A84ACA4" w14:textId="08F3DA3F" w:rsidR="00AE1961" w:rsidRDefault="00047AC0" w:rsidP="00AE1961">
      <w:pPr>
        <w:spacing w:after="0" w:line="240" w:lineRule="auto"/>
        <w:jc w:val="both"/>
        <w:rPr>
          <w:rFonts w:ascii="Open Sans" w:hAnsi="Open Sans" w:cs="Open Sans"/>
          <w:color w:val="595959" w:themeColor="text1" w:themeTint="A6"/>
          <w:sz w:val="20"/>
          <w:szCs w:val="20"/>
        </w:rPr>
      </w:pPr>
      <w:r>
        <w:rPr>
          <w:rFonts w:ascii="Open Sans" w:hAnsi="Open Sans" w:cs="Open Sans"/>
          <w:b/>
          <w:bCs/>
          <w:color w:val="595959" w:themeColor="text1" w:themeTint="A6"/>
          <w:sz w:val="20"/>
          <w:szCs w:val="20"/>
        </w:rPr>
        <w:t>Į</w:t>
      </w:r>
      <w:r w:rsidR="007179E8" w:rsidRPr="000F4409">
        <w:rPr>
          <w:rFonts w:ascii="Open Sans" w:hAnsi="Open Sans" w:cs="Open Sans"/>
          <w:b/>
          <w:bCs/>
          <w:color w:val="595959" w:themeColor="text1" w:themeTint="A6"/>
          <w:sz w:val="20"/>
          <w:szCs w:val="20"/>
        </w:rPr>
        <w:t>keičiamo</w:t>
      </w:r>
      <w:r w:rsidR="009743D4">
        <w:rPr>
          <w:rFonts w:ascii="Open Sans" w:hAnsi="Open Sans" w:cs="Open Sans"/>
          <w:b/>
          <w:bCs/>
          <w:color w:val="595959" w:themeColor="text1" w:themeTint="A6"/>
          <w:sz w:val="20"/>
          <w:szCs w:val="20"/>
        </w:rPr>
        <w:t xml:space="preserve"> </w:t>
      </w:r>
      <w:r w:rsidR="007179E8" w:rsidRPr="000F4409">
        <w:rPr>
          <w:rFonts w:ascii="Open Sans" w:hAnsi="Open Sans" w:cs="Open Sans"/>
          <w:b/>
          <w:bCs/>
          <w:color w:val="595959" w:themeColor="text1" w:themeTint="A6"/>
          <w:sz w:val="20"/>
          <w:szCs w:val="20"/>
        </w:rPr>
        <w:t>turto draudim</w:t>
      </w:r>
      <w:r>
        <w:rPr>
          <w:rFonts w:ascii="Open Sans" w:hAnsi="Open Sans" w:cs="Open Sans"/>
          <w:b/>
          <w:bCs/>
          <w:color w:val="595959" w:themeColor="text1" w:themeTint="A6"/>
          <w:sz w:val="20"/>
          <w:szCs w:val="20"/>
        </w:rPr>
        <w:t xml:space="preserve">as - </w:t>
      </w:r>
      <w:r w:rsidR="00811F5E">
        <w:rPr>
          <w:rFonts w:ascii="Open Sans" w:hAnsi="Open Sans" w:cs="Open Sans"/>
          <w:color w:val="595959" w:themeColor="text1" w:themeTint="A6"/>
          <w:sz w:val="20"/>
          <w:szCs w:val="20"/>
        </w:rPr>
        <w:t>k</w:t>
      </w:r>
      <w:r w:rsidRPr="00047AC0">
        <w:rPr>
          <w:rFonts w:ascii="Open Sans" w:hAnsi="Open Sans" w:cs="Open Sans"/>
          <w:color w:val="595959" w:themeColor="text1" w:themeTint="A6"/>
          <w:sz w:val="20"/>
          <w:szCs w:val="20"/>
        </w:rPr>
        <w:t xml:space="preserve">redito gavėjas įsipareigoja apdrausti </w:t>
      </w:r>
      <w:r w:rsidR="00811F5E">
        <w:rPr>
          <w:rFonts w:ascii="Open Sans" w:hAnsi="Open Sans" w:cs="Open Sans"/>
          <w:color w:val="595959" w:themeColor="text1" w:themeTint="A6"/>
          <w:sz w:val="20"/>
          <w:szCs w:val="20"/>
        </w:rPr>
        <w:t>k</w:t>
      </w:r>
      <w:r>
        <w:rPr>
          <w:rFonts w:ascii="Open Sans" w:hAnsi="Open Sans" w:cs="Open Sans"/>
          <w:color w:val="595959" w:themeColor="text1" w:themeTint="A6"/>
          <w:sz w:val="20"/>
          <w:szCs w:val="20"/>
        </w:rPr>
        <w:t>redito u</w:t>
      </w:r>
      <w:r w:rsidRPr="00047AC0">
        <w:rPr>
          <w:rFonts w:ascii="Open Sans" w:hAnsi="Open Sans" w:cs="Open Sans"/>
          <w:color w:val="595959" w:themeColor="text1" w:themeTint="A6"/>
          <w:sz w:val="20"/>
          <w:szCs w:val="20"/>
        </w:rPr>
        <w:t xml:space="preserve">nijos naudai visam </w:t>
      </w:r>
      <w:r>
        <w:rPr>
          <w:rFonts w:ascii="Open Sans" w:hAnsi="Open Sans" w:cs="Open Sans"/>
          <w:color w:val="595959" w:themeColor="text1" w:themeTint="A6"/>
          <w:sz w:val="20"/>
          <w:szCs w:val="20"/>
        </w:rPr>
        <w:t>s</w:t>
      </w:r>
      <w:r w:rsidRPr="00047AC0">
        <w:rPr>
          <w:rFonts w:ascii="Open Sans" w:hAnsi="Open Sans" w:cs="Open Sans"/>
          <w:color w:val="595959" w:themeColor="text1" w:themeTint="A6"/>
          <w:sz w:val="20"/>
          <w:szCs w:val="20"/>
        </w:rPr>
        <w:t xml:space="preserve">utarties galiojimo laikotarpiui </w:t>
      </w:r>
      <w:r w:rsidR="00811F5E">
        <w:rPr>
          <w:rFonts w:ascii="Open Sans" w:hAnsi="Open Sans" w:cs="Open Sans"/>
          <w:color w:val="595959" w:themeColor="text1" w:themeTint="A6"/>
          <w:sz w:val="20"/>
          <w:szCs w:val="20"/>
        </w:rPr>
        <w:t>k</w:t>
      </w:r>
      <w:r>
        <w:rPr>
          <w:rFonts w:ascii="Open Sans" w:hAnsi="Open Sans" w:cs="Open Sans"/>
          <w:color w:val="595959" w:themeColor="text1" w:themeTint="A6"/>
          <w:sz w:val="20"/>
          <w:szCs w:val="20"/>
        </w:rPr>
        <w:t>redito u</w:t>
      </w:r>
      <w:r w:rsidRPr="00047AC0">
        <w:rPr>
          <w:rFonts w:ascii="Open Sans" w:hAnsi="Open Sans" w:cs="Open Sans"/>
          <w:color w:val="595959" w:themeColor="text1" w:themeTint="A6"/>
          <w:sz w:val="20"/>
          <w:szCs w:val="20"/>
        </w:rPr>
        <w:t>nijai priimtinoje draudimo įmonėje įkeičiamą (įkeistą)</w:t>
      </w:r>
      <w:r>
        <w:rPr>
          <w:rFonts w:ascii="Open Sans" w:hAnsi="Open Sans" w:cs="Open Sans"/>
          <w:color w:val="595959" w:themeColor="text1" w:themeTint="A6"/>
          <w:sz w:val="20"/>
          <w:szCs w:val="20"/>
        </w:rPr>
        <w:t xml:space="preserve"> </w:t>
      </w:r>
      <w:r w:rsidRPr="00047AC0">
        <w:rPr>
          <w:rFonts w:ascii="Open Sans" w:hAnsi="Open Sans" w:cs="Open Sans"/>
          <w:color w:val="595959" w:themeColor="text1" w:themeTint="A6"/>
          <w:sz w:val="20"/>
          <w:szCs w:val="20"/>
        </w:rPr>
        <w:t xml:space="preserve">nekilnojamąjį turtą (išskyrus žemės sklypus) ir </w:t>
      </w:r>
      <w:r w:rsidRPr="00047AC0">
        <w:rPr>
          <w:rFonts w:ascii="Open Sans" w:hAnsi="Open Sans" w:cs="Open Sans"/>
          <w:color w:val="595959" w:themeColor="text1" w:themeTint="A6"/>
          <w:sz w:val="20"/>
          <w:szCs w:val="20"/>
        </w:rPr>
        <w:lastRenderedPageBreak/>
        <w:t xml:space="preserve">kilnojamąjį turtą. </w:t>
      </w:r>
      <w:r>
        <w:rPr>
          <w:rFonts w:ascii="Open Sans" w:hAnsi="Open Sans" w:cs="Open Sans"/>
          <w:color w:val="595959" w:themeColor="text1" w:themeTint="A6"/>
          <w:sz w:val="20"/>
          <w:szCs w:val="20"/>
        </w:rPr>
        <w:t>Kredito u</w:t>
      </w:r>
      <w:r w:rsidRPr="00047AC0">
        <w:rPr>
          <w:rFonts w:ascii="Open Sans" w:hAnsi="Open Sans" w:cs="Open Sans"/>
          <w:color w:val="595959" w:themeColor="text1" w:themeTint="A6"/>
          <w:sz w:val="20"/>
          <w:szCs w:val="20"/>
        </w:rPr>
        <w:t xml:space="preserve">nijai priimtinų turto draudimo įmonių sąrašas skelbiamas pačioje </w:t>
      </w:r>
      <w:r>
        <w:rPr>
          <w:rFonts w:ascii="Open Sans" w:hAnsi="Open Sans" w:cs="Open Sans"/>
          <w:color w:val="595959" w:themeColor="text1" w:themeTint="A6"/>
          <w:sz w:val="20"/>
          <w:szCs w:val="20"/>
        </w:rPr>
        <w:t>kredito u</w:t>
      </w:r>
      <w:r w:rsidRPr="00047AC0">
        <w:rPr>
          <w:rFonts w:ascii="Open Sans" w:hAnsi="Open Sans" w:cs="Open Sans"/>
          <w:color w:val="595959" w:themeColor="text1" w:themeTint="A6"/>
          <w:sz w:val="20"/>
          <w:szCs w:val="20"/>
        </w:rPr>
        <w:t xml:space="preserve">nijoje arba </w:t>
      </w:r>
      <w:r>
        <w:rPr>
          <w:rFonts w:ascii="Open Sans" w:hAnsi="Open Sans" w:cs="Open Sans"/>
          <w:color w:val="595959" w:themeColor="text1" w:themeTint="A6"/>
          <w:sz w:val="20"/>
          <w:szCs w:val="20"/>
        </w:rPr>
        <w:t>kredito u</w:t>
      </w:r>
      <w:r w:rsidRPr="00047AC0">
        <w:rPr>
          <w:rFonts w:ascii="Open Sans" w:hAnsi="Open Sans" w:cs="Open Sans"/>
          <w:color w:val="595959" w:themeColor="text1" w:themeTint="A6"/>
          <w:sz w:val="20"/>
          <w:szCs w:val="20"/>
        </w:rPr>
        <w:t>nijos</w:t>
      </w:r>
      <w:r>
        <w:rPr>
          <w:rFonts w:ascii="Open Sans" w:hAnsi="Open Sans" w:cs="Open Sans"/>
          <w:color w:val="595959" w:themeColor="text1" w:themeTint="A6"/>
          <w:sz w:val="20"/>
          <w:szCs w:val="20"/>
        </w:rPr>
        <w:t xml:space="preserve"> </w:t>
      </w:r>
      <w:r w:rsidRPr="00047AC0">
        <w:rPr>
          <w:rFonts w:ascii="Open Sans" w:hAnsi="Open Sans" w:cs="Open Sans"/>
          <w:color w:val="595959" w:themeColor="text1" w:themeTint="A6"/>
          <w:sz w:val="20"/>
          <w:szCs w:val="20"/>
        </w:rPr>
        <w:t>internetinėje svetainėje</w:t>
      </w:r>
      <w:r>
        <w:rPr>
          <w:rFonts w:ascii="Open Sans" w:hAnsi="Open Sans" w:cs="Open Sans"/>
          <w:color w:val="595959" w:themeColor="text1" w:themeTint="A6"/>
          <w:sz w:val="20"/>
          <w:szCs w:val="20"/>
        </w:rPr>
        <w:t>.</w:t>
      </w:r>
      <w:r w:rsidRPr="00047AC0">
        <w:rPr>
          <w:rFonts w:ascii="Open Sans" w:hAnsi="Open Sans" w:cs="Open Sans"/>
          <w:color w:val="595959" w:themeColor="text1" w:themeTint="A6"/>
          <w:sz w:val="20"/>
          <w:szCs w:val="20"/>
        </w:rPr>
        <w:t xml:space="preserve"> Kredito gavėjas turi teisę sudaryti draudimo sutartį su kita, negu</w:t>
      </w:r>
      <w:r>
        <w:rPr>
          <w:rFonts w:ascii="Open Sans" w:hAnsi="Open Sans" w:cs="Open Sans"/>
          <w:color w:val="595959" w:themeColor="text1" w:themeTint="A6"/>
          <w:sz w:val="20"/>
          <w:szCs w:val="20"/>
        </w:rPr>
        <w:t xml:space="preserve"> kredito u</w:t>
      </w:r>
      <w:r w:rsidRPr="00047AC0">
        <w:rPr>
          <w:rFonts w:ascii="Open Sans" w:hAnsi="Open Sans" w:cs="Open Sans"/>
          <w:color w:val="595959" w:themeColor="text1" w:themeTint="A6"/>
          <w:sz w:val="20"/>
          <w:szCs w:val="20"/>
        </w:rPr>
        <w:t xml:space="preserve">nijos pasiūlyta, draudimo įmone, jeigu ta draudimo sutartimi suteikiama draudimo apsauga yra lygiavertė draudimo apsaugai, kurią suteiktų </w:t>
      </w:r>
      <w:r>
        <w:rPr>
          <w:rFonts w:ascii="Open Sans" w:hAnsi="Open Sans" w:cs="Open Sans"/>
          <w:color w:val="595959" w:themeColor="text1" w:themeTint="A6"/>
          <w:sz w:val="20"/>
          <w:szCs w:val="20"/>
        </w:rPr>
        <w:t>kredito u</w:t>
      </w:r>
      <w:r w:rsidRPr="00047AC0">
        <w:rPr>
          <w:rFonts w:ascii="Open Sans" w:hAnsi="Open Sans" w:cs="Open Sans"/>
          <w:color w:val="595959" w:themeColor="text1" w:themeTint="A6"/>
          <w:sz w:val="20"/>
          <w:szCs w:val="20"/>
        </w:rPr>
        <w:t>nijos</w:t>
      </w:r>
      <w:r>
        <w:rPr>
          <w:rFonts w:ascii="Open Sans" w:hAnsi="Open Sans" w:cs="Open Sans"/>
          <w:color w:val="595959" w:themeColor="text1" w:themeTint="A6"/>
          <w:sz w:val="20"/>
          <w:szCs w:val="20"/>
        </w:rPr>
        <w:t xml:space="preserve"> </w:t>
      </w:r>
      <w:r w:rsidRPr="00047AC0">
        <w:rPr>
          <w:rFonts w:ascii="Open Sans" w:hAnsi="Open Sans" w:cs="Open Sans"/>
          <w:color w:val="595959" w:themeColor="text1" w:themeTint="A6"/>
          <w:sz w:val="20"/>
          <w:szCs w:val="20"/>
        </w:rPr>
        <w:t>pasiūlytos draudimo įmonės draudimo sutartis.</w:t>
      </w:r>
      <w:r>
        <w:rPr>
          <w:rFonts w:ascii="Open Sans" w:hAnsi="Open Sans" w:cs="Open Sans"/>
          <w:color w:val="595959" w:themeColor="text1" w:themeTint="A6"/>
          <w:sz w:val="20"/>
          <w:szCs w:val="20"/>
        </w:rPr>
        <w:t xml:space="preserve"> </w:t>
      </w:r>
    </w:p>
    <w:p w14:paraId="3A989C70" w14:textId="2AEEBCDB" w:rsidR="00047AC0" w:rsidRDefault="00811F5E" w:rsidP="007179E8">
      <w:pPr>
        <w:spacing w:after="0" w:line="240" w:lineRule="auto"/>
        <w:rPr>
          <w:rFonts w:ascii="Open Sans" w:hAnsi="Open Sans" w:cs="Open Sans"/>
          <w:color w:val="595959" w:themeColor="text1" w:themeTint="A6"/>
          <w:sz w:val="20"/>
          <w:szCs w:val="20"/>
        </w:rPr>
      </w:pPr>
      <w:r>
        <w:rPr>
          <w:rFonts w:ascii="Open Sans" w:hAnsi="Open Sans" w:cs="Open Sans"/>
          <w:color w:val="595959" w:themeColor="text1" w:themeTint="A6"/>
          <w:sz w:val="20"/>
          <w:szCs w:val="20"/>
        </w:rPr>
        <w:t>Kredito u</w:t>
      </w:r>
      <w:r w:rsidR="00047AC0" w:rsidRPr="00047AC0">
        <w:rPr>
          <w:rFonts w:ascii="Open Sans" w:hAnsi="Open Sans" w:cs="Open Sans"/>
          <w:color w:val="595959" w:themeColor="text1" w:themeTint="A6"/>
          <w:sz w:val="20"/>
          <w:szCs w:val="20"/>
        </w:rPr>
        <w:t>nijai įkeičiamo (įkeisto) turto draudimo sutartys turi atitikti šias sąlygas:</w:t>
      </w:r>
      <w:r w:rsidR="00047AC0">
        <w:rPr>
          <w:rFonts w:ascii="Open Sans" w:hAnsi="Open Sans" w:cs="Open Sans"/>
          <w:color w:val="595959" w:themeColor="text1" w:themeTint="A6"/>
          <w:sz w:val="20"/>
          <w:szCs w:val="20"/>
        </w:rPr>
        <w:t xml:space="preserve"> </w:t>
      </w:r>
    </w:p>
    <w:p w14:paraId="283FF70D" w14:textId="1C923874" w:rsidR="00047AC0" w:rsidRDefault="00047AC0" w:rsidP="00047AC0">
      <w:pPr>
        <w:spacing w:after="0" w:line="240" w:lineRule="auto"/>
        <w:jc w:val="both"/>
        <w:rPr>
          <w:rFonts w:ascii="Open Sans" w:hAnsi="Open Sans" w:cs="Open Sans"/>
          <w:color w:val="595959" w:themeColor="text1" w:themeTint="A6"/>
          <w:sz w:val="20"/>
          <w:szCs w:val="20"/>
        </w:rPr>
      </w:pPr>
      <w:r w:rsidRPr="00047AC0">
        <w:rPr>
          <w:rFonts w:ascii="Open Sans" w:hAnsi="Open Sans" w:cs="Open Sans"/>
          <w:color w:val="595959" w:themeColor="text1" w:themeTint="A6"/>
          <w:sz w:val="20"/>
          <w:szCs w:val="20"/>
        </w:rPr>
        <w:t>1. Nekilnojamojo turto draudimo suma, numatyta draudimo sutartyje, turi būti nemažesnė nei turto atstatomoji vertė, kilnojamojo turto draudimo</w:t>
      </w:r>
      <w:r>
        <w:rPr>
          <w:rFonts w:ascii="Open Sans" w:hAnsi="Open Sans" w:cs="Open Sans"/>
          <w:color w:val="595959" w:themeColor="text1" w:themeTint="A6"/>
          <w:sz w:val="20"/>
          <w:szCs w:val="20"/>
        </w:rPr>
        <w:t xml:space="preserve"> </w:t>
      </w:r>
      <w:r w:rsidRPr="00047AC0">
        <w:rPr>
          <w:rFonts w:ascii="Open Sans" w:hAnsi="Open Sans" w:cs="Open Sans"/>
          <w:color w:val="595959" w:themeColor="text1" w:themeTint="A6"/>
          <w:sz w:val="20"/>
          <w:szCs w:val="20"/>
        </w:rPr>
        <w:t>suma: kelių transporto priemonių, jų priekabų, gamybinių, technologinių įrengimų, baldų, prekybos vietų ir restoranų įrangos ir baldų –  nemažesnė</w:t>
      </w:r>
      <w:r>
        <w:rPr>
          <w:rFonts w:ascii="Open Sans" w:hAnsi="Open Sans" w:cs="Open Sans"/>
          <w:color w:val="595959" w:themeColor="text1" w:themeTint="A6"/>
          <w:sz w:val="20"/>
          <w:szCs w:val="20"/>
        </w:rPr>
        <w:t xml:space="preserve"> </w:t>
      </w:r>
      <w:r w:rsidRPr="00047AC0">
        <w:rPr>
          <w:rFonts w:ascii="Open Sans" w:hAnsi="Open Sans" w:cs="Open Sans"/>
          <w:color w:val="595959" w:themeColor="text1" w:themeTint="A6"/>
          <w:sz w:val="20"/>
          <w:szCs w:val="20"/>
        </w:rPr>
        <w:t>kaip draudžiamo turto rinkos vertė; mobilios technikos (traktorių, savaeigės žemės ūkio technikos, statybinių ir kelių remonto mašinų, miško darbų,</w:t>
      </w:r>
      <w:r>
        <w:rPr>
          <w:rFonts w:ascii="Open Sans" w:hAnsi="Open Sans" w:cs="Open Sans"/>
          <w:color w:val="595959" w:themeColor="text1" w:themeTint="A6"/>
          <w:sz w:val="20"/>
          <w:szCs w:val="20"/>
        </w:rPr>
        <w:t xml:space="preserve"> </w:t>
      </w:r>
      <w:r w:rsidRPr="00047AC0">
        <w:rPr>
          <w:rFonts w:ascii="Open Sans" w:hAnsi="Open Sans" w:cs="Open Sans"/>
          <w:color w:val="595959" w:themeColor="text1" w:themeTint="A6"/>
          <w:sz w:val="20"/>
          <w:szCs w:val="20"/>
        </w:rPr>
        <w:t xml:space="preserve">karjerų, sąvartynų mašinų, jų </w:t>
      </w:r>
      <w:r w:rsidR="00766EA8">
        <w:rPr>
          <w:rFonts w:ascii="Open Sans" w:hAnsi="Open Sans" w:cs="Open Sans"/>
          <w:color w:val="595959" w:themeColor="text1" w:themeTint="A6"/>
          <w:sz w:val="20"/>
          <w:szCs w:val="20"/>
        </w:rPr>
        <w:t>priekabų)</w:t>
      </w:r>
      <w:r w:rsidRPr="00047AC0">
        <w:rPr>
          <w:rFonts w:ascii="Open Sans" w:hAnsi="Open Sans" w:cs="Open Sans"/>
          <w:color w:val="595959" w:themeColor="text1" w:themeTint="A6"/>
          <w:sz w:val="20"/>
          <w:szCs w:val="20"/>
        </w:rPr>
        <w:t xml:space="preserve"> –  nemažesnė nei </w:t>
      </w:r>
      <w:r w:rsidR="008415DF">
        <w:rPr>
          <w:rFonts w:ascii="Open Sans" w:hAnsi="Open Sans" w:cs="Open Sans"/>
          <w:color w:val="595959" w:themeColor="text1" w:themeTint="A6"/>
          <w:sz w:val="20"/>
          <w:szCs w:val="20"/>
        </w:rPr>
        <w:t>d</w:t>
      </w:r>
      <w:r w:rsidRPr="00047AC0">
        <w:rPr>
          <w:rFonts w:ascii="Open Sans" w:hAnsi="Open Sans" w:cs="Open Sans"/>
          <w:color w:val="595959" w:themeColor="text1" w:themeTint="A6"/>
          <w:sz w:val="20"/>
          <w:szCs w:val="20"/>
        </w:rPr>
        <w:t>raudžiamo turto atkuriamoji vertė; biuro, kompiuterinės, medicinos technikos – jei po</w:t>
      </w:r>
      <w:r>
        <w:rPr>
          <w:rFonts w:ascii="Open Sans" w:hAnsi="Open Sans" w:cs="Open Sans"/>
          <w:color w:val="595959" w:themeColor="text1" w:themeTint="A6"/>
          <w:sz w:val="20"/>
          <w:szCs w:val="20"/>
        </w:rPr>
        <w:t xml:space="preserve"> </w:t>
      </w:r>
      <w:r w:rsidRPr="00047AC0">
        <w:rPr>
          <w:rFonts w:ascii="Open Sans" w:hAnsi="Open Sans" w:cs="Open Sans"/>
          <w:color w:val="595959" w:themeColor="text1" w:themeTint="A6"/>
          <w:sz w:val="20"/>
          <w:szCs w:val="20"/>
        </w:rPr>
        <w:t>draudžiamojo įvykio turtas yra remontuotinas – atkuriamoji vertė, jei pilnai sunaikintas – rinkos vertė; prekių atsargų – nemažesnė kaip Unijai įkeistų</w:t>
      </w:r>
      <w:r>
        <w:rPr>
          <w:rFonts w:ascii="Open Sans" w:hAnsi="Open Sans" w:cs="Open Sans"/>
          <w:color w:val="595959" w:themeColor="text1" w:themeTint="A6"/>
          <w:sz w:val="20"/>
          <w:szCs w:val="20"/>
        </w:rPr>
        <w:t xml:space="preserve"> </w:t>
      </w:r>
      <w:r w:rsidRPr="00047AC0">
        <w:rPr>
          <w:rFonts w:ascii="Open Sans" w:hAnsi="Open Sans" w:cs="Open Sans"/>
          <w:color w:val="595959" w:themeColor="text1" w:themeTint="A6"/>
          <w:sz w:val="20"/>
          <w:szCs w:val="20"/>
        </w:rPr>
        <w:t>prekių atsargų vertė prekių įsigijimo kainomis;</w:t>
      </w:r>
      <w:r>
        <w:rPr>
          <w:rFonts w:ascii="Open Sans" w:hAnsi="Open Sans" w:cs="Open Sans"/>
          <w:color w:val="595959" w:themeColor="text1" w:themeTint="A6"/>
          <w:sz w:val="20"/>
          <w:szCs w:val="20"/>
        </w:rPr>
        <w:t xml:space="preserve"> </w:t>
      </w:r>
    </w:p>
    <w:p w14:paraId="6C681D48" w14:textId="2FBE2F6F" w:rsidR="00047AC0" w:rsidRDefault="00047AC0" w:rsidP="00047AC0">
      <w:pPr>
        <w:spacing w:after="0" w:line="240" w:lineRule="auto"/>
        <w:jc w:val="both"/>
        <w:rPr>
          <w:rFonts w:ascii="Open Sans" w:hAnsi="Open Sans" w:cs="Open Sans"/>
          <w:color w:val="595959" w:themeColor="text1" w:themeTint="A6"/>
          <w:sz w:val="20"/>
          <w:szCs w:val="20"/>
        </w:rPr>
      </w:pPr>
      <w:r w:rsidRPr="00047AC0">
        <w:rPr>
          <w:rFonts w:ascii="Open Sans" w:hAnsi="Open Sans" w:cs="Open Sans"/>
          <w:color w:val="595959" w:themeColor="text1" w:themeTint="A6"/>
          <w:sz w:val="20"/>
          <w:szCs w:val="20"/>
        </w:rPr>
        <w:t>2. Nekilnojamasis turtas turi būti apdraustas nuo šių rizikų: daugiafunkcinės paskirties pastatai, patalpos –  visų rizikų draudimu; nesudėtingi</w:t>
      </w:r>
      <w:r>
        <w:rPr>
          <w:rFonts w:ascii="Open Sans" w:hAnsi="Open Sans" w:cs="Open Sans"/>
          <w:color w:val="595959" w:themeColor="text1" w:themeTint="A6"/>
          <w:sz w:val="20"/>
          <w:szCs w:val="20"/>
        </w:rPr>
        <w:t xml:space="preserve"> </w:t>
      </w:r>
      <w:r w:rsidRPr="00047AC0">
        <w:rPr>
          <w:rFonts w:ascii="Open Sans" w:hAnsi="Open Sans" w:cs="Open Sans"/>
          <w:color w:val="595959" w:themeColor="text1" w:themeTint="A6"/>
          <w:sz w:val="20"/>
          <w:szCs w:val="20"/>
        </w:rPr>
        <w:t>pastatai, patalpos – nuo ugnies (įskaitant bet neapsiribojant nuo gaisro, žaibo įtrenkimo, sprogimo); vandens poveikio (įskaitant bet neapsiribojant nuo</w:t>
      </w:r>
      <w:r>
        <w:rPr>
          <w:rFonts w:ascii="Open Sans" w:hAnsi="Open Sans" w:cs="Open Sans"/>
          <w:color w:val="595959" w:themeColor="text1" w:themeTint="A6"/>
          <w:sz w:val="20"/>
          <w:szCs w:val="20"/>
        </w:rPr>
        <w:t xml:space="preserve"> </w:t>
      </w:r>
      <w:r w:rsidRPr="00047AC0">
        <w:rPr>
          <w:rFonts w:ascii="Open Sans" w:hAnsi="Open Sans" w:cs="Open Sans"/>
          <w:color w:val="595959" w:themeColor="text1" w:themeTint="A6"/>
          <w:sz w:val="20"/>
          <w:szCs w:val="20"/>
        </w:rPr>
        <w:t>šildymo sistemos, vandentiekio, kanalizacijos tinklų avarijos); užpylimo rizikos (pastatai ir patalpos su įrengta</w:t>
      </w:r>
      <w:r w:rsidR="00766EA8">
        <w:rPr>
          <w:rFonts w:ascii="Open Sans" w:hAnsi="Open Sans" w:cs="Open Sans"/>
          <w:color w:val="595959" w:themeColor="text1" w:themeTint="A6"/>
          <w:sz w:val="20"/>
          <w:szCs w:val="20"/>
        </w:rPr>
        <w:t xml:space="preserve"> sprinklerine</w:t>
      </w:r>
      <w:r w:rsidRPr="00047AC0">
        <w:rPr>
          <w:rFonts w:ascii="Open Sans" w:hAnsi="Open Sans" w:cs="Open Sans"/>
          <w:color w:val="595959" w:themeColor="text1" w:themeTint="A6"/>
          <w:sz w:val="20"/>
          <w:szCs w:val="20"/>
        </w:rPr>
        <w:t xml:space="preserve"> sistema); gamtinių jėgų</w:t>
      </w:r>
      <w:r>
        <w:rPr>
          <w:rFonts w:ascii="Open Sans" w:hAnsi="Open Sans" w:cs="Open Sans"/>
          <w:color w:val="595959" w:themeColor="text1" w:themeTint="A6"/>
          <w:sz w:val="20"/>
          <w:szCs w:val="20"/>
        </w:rPr>
        <w:t xml:space="preserve"> </w:t>
      </w:r>
      <w:r w:rsidRPr="00047AC0">
        <w:rPr>
          <w:rFonts w:ascii="Open Sans" w:hAnsi="Open Sans" w:cs="Open Sans"/>
          <w:color w:val="595959" w:themeColor="text1" w:themeTint="A6"/>
          <w:sz w:val="20"/>
          <w:szCs w:val="20"/>
        </w:rPr>
        <w:t>rizikos (audra, kruša, liūtis, potvynis, sniego slėgis, grunto suslūgimas/nuslydimas), stiklo dūžio; transporto priemonės atsitrenkimo, trečiųjų asmenų</w:t>
      </w:r>
      <w:r>
        <w:rPr>
          <w:rFonts w:ascii="Open Sans" w:hAnsi="Open Sans" w:cs="Open Sans"/>
          <w:color w:val="595959" w:themeColor="text1" w:themeTint="A6"/>
          <w:sz w:val="20"/>
          <w:szCs w:val="20"/>
        </w:rPr>
        <w:t xml:space="preserve"> </w:t>
      </w:r>
      <w:r w:rsidRPr="00047AC0">
        <w:rPr>
          <w:rFonts w:ascii="Open Sans" w:hAnsi="Open Sans" w:cs="Open Sans"/>
          <w:color w:val="595959" w:themeColor="text1" w:themeTint="A6"/>
          <w:sz w:val="20"/>
          <w:szCs w:val="20"/>
        </w:rPr>
        <w:t>tyčinės veikos, vandalizmo. Kilnojamasis turtas turi būti apdraustas šių rizikų draudimu: kelių transporto priemonės, jų priekabos – KASKO draudimu;</w:t>
      </w:r>
      <w:r>
        <w:rPr>
          <w:rFonts w:ascii="Open Sans" w:hAnsi="Open Sans" w:cs="Open Sans"/>
          <w:color w:val="595959" w:themeColor="text1" w:themeTint="A6"/>
          <w:sz w:val="20"/>
          <w:szCs w:val="20"/>
        </w:rPr>
        <w:t xml:space="preserve"> </w:t>
      </w:r>
      <w:r w:rsidRPr="00047AC0">
        <w:rPr>
          <w:rFonts w:ascii="Open Sans" w:hAnsi="Open Sans" w:cs="Open Sans"/>
          <w:color w:val="595959" w:themeColor="text1" w:themeTint="A6"/>
          <w:sz w:val="20"/>
          <w:szCs w:val="20"/>
        </w:rPr>
        <w:t xml:space="preserve">mobili technika (traktoriai, savaeigė žemės ūkio technika, statybinės ir kelių remonto mašinos, miško darbų, karjerų, sąvartynų mašinos, jų priekabos –visų rizikų draudimu arba šių rizikų draudimu: autoavarija; gamtinių jėgų poveikis; vanduo; </w:t>
      </w:r>
      <w:r w:rsidR="00766EA8">
        <w:rPr>
          <w:rFonts w:ascii="Open Sans" w:hAnsi="Open Sans" w:cs="Open Sans"/>
          <w:color w:val="595959" w:themeColor="text1" w:themeTint="A6"/>
          <w:sz w:val="20"/>
          <w:szCs w:val="20"/>
        </w:rPr>
        <w:t>u</w:t>
      </w:r>
      <w:r w:rsidRPr="00047AC0">
        <w:rPr>
          <w:rFonts w:ascii="Open Sans" w:hAnsi="Open Sans" w:cs="Open Sans"/>
          <w:color w:val="595959" w:themeColor="text1" w:themeTint="A6"/>
          <w:sz w:val="20"/>
          <w:szCs w:val="20"/>
        </w:rPr>
        <w:t>gnis, gaisras, sprogimas; vagystė, plėšimas; trečiųjų</w:t>
      </w:r>
      <w:r>
        <w:rPr>
          <w:rFonts w:ascii="Open Sans" w:hAnsi="Open Sans" w:cs="Open Sans"/>
          <w:color w:val="595959" w:themeColor="text1" w:themeTint="A6"/>
          <w:sz w:val="20"/>
          <w:szCs w:val="20"/>
        </w:rPr>
        <w:t xml:space="preserve"> </w:t>
      </w:r>
      <w:r w:rsidRPr="00047AC0">
        <w:rPr>
          <w:rFonts w:ascii="Open Sans" w:hAnsi="Open Sans" w:cs="Open Sans"/>
          <w:color w:val="595959" w:themeColor="text1" w:themeTint="A6"/>
          <w:sz w:val="20"/>
          <w:szCs w:val="20"/>
        </w:rPr>
        <w:t>asmenų tyčinė veika, vandalizmas. Gamybiniai, technologiniai įrengimai, baldai, prekybos vietų ir restoranų įranga ir baldai turi būti apdrausti šių rizikų</w:t>
      </w:r>
      <w:r>
        <w:rPr>
          <w:rFonts w:ascii="Open Sans" w:hAnsi="Open Sans" w:cs="Open Sans"/>
          <w:color w:val="595959" w:themeColor="text1" w:themeTint="A6"/>
          <w:sz w:val="20"/>
          <w:szCs w:val="20"/>
        </w:rPr>
        <w:t xml:space="preserve"> </w:t>
      </w:r>
      <w:r w:rsidRPr="00047AC0">
        <w:rPr>
          <w:rFonts w:ascii="Open Sans" w:hAnsi="Open Sans" w:cs="Open Sans"/>
          <w:color w:val="595959" w:themeColor="text1" w:themeTint="A6"/>
          <w:sz w:val="20"/>
          <w:szCs w:val="20"/>
        </w:rPr>
        <w:t>draudimu: ugnis (įskaitant, bet neapsiribojant gaisras, žaibo įtrenkimas, sprogimas); vanduo (įskaitant, bet neapsiribojant vandens – šildymo sistemos,</w:t>
      </w:r>
      <w:r>
        <w:rPr>
          <w:rFonts w:ascii="Open Sans" w:hAnsi="Open Sans" w:cs="Open Sans"/>
          <w:color w:val="595959" w:themeColor="text1" w:themeTint="A6"/>
          <w:sz w:val="20"/>
          <w:szCs w:val="20"/>
        </w:rPr>
        <w:t xml:space="preserve"> </w:t>
      </w:r>
      <w:r w:rsidRPr="00047AC0">
        <w:rPr>
          <w:rFonts w:ascii="Open Sans" w:hAnsi="Open Sans" w:cs="Open Sans"/>
          <w:color w:val="595959" w:themeColor="text1" w:themeTint="A6"/>
          <w:sz w:val="20"/>
          <w:szCs w:val="20"/>
        </w:rPr>
        <w:t xml:space="preserve">vandentiekio, kanalizacijos </w:t>
      </w:r>
      <w:r w:rsidR="00766EA8">
        <w:rPr>
          <w:rFonts w:ascii="Open Sans" w:hAnsi="Open Sans" w:cs="Open Sans"/>
          <w:color w:val="595959" w:themeColor="text1" w:themeTint="A6"/>
          <w:sz w:val="20"/>
          <w:szCs w:val="20"/>
        </w:rPr>
        <w:t>tinklų avarija);</w:t>
      </w:r>
      <w:r w:rsidRPr="00047AC0">
        <w:rPr>
          <w:rFonts w:ascii="Open Sans" w:hAnsi="Open Sans" w:cs="Open Sans"/>
          <w:color w:val="595959" w:themeColor="text1" w:themeTint="A6"/>
          <w:sz w:val="20"/>
          <w:szCs w:val="20"/>
        </w:rPr>
        <w:t xml:space="preserve"> gamtinės jėgos (audra, kruša, liūtis, potvynis, sniego slėgis, grunto suslūgimas/nuslydimas); vagystė;</w:t>
      </w:r>
      <w:r>
        <w:rPr>
          <w:rFonts w:ascii="Open Sans" w:hAnsi="Open Sans" w:cs="Open Sans"/>
          <w:color w:val="595959" w:themeColor="text1" w:themeTint="A6"/>
          <w:sz w:val="20"/>
          <w:szCs w:val="20"/>
        </w:rPr>
        <w:t xml:space="preserve"> </w:t>
      </w:r>
      <w:r w:rsidR="00766EA8">
        <w:rPr>
          <w:rFonts w:ascii="Open Sans" w:hAnsi="Open Sans" w:cs="Open Sans"/>
          <w:color w:val="595959" w:themeColor="text1" w:themeTint="A6"/>
          <w:sz w:val="20"/>
          <w:szCs w:val="20"/>
        </w:rPr>
        <w:t xml:space="preserve">trečiųjų </w:t>
      </w:r>
      <w:r w:rsidRPr="00047AC0">
        <w:rPr>
          <w:rFonts w:ascii="Open Sans" w:hAnsi="Open Sans" w:cs="Open Sans"/>
          <w:color w:val="595959" w:themeColor="text1" w:themeTint="A6"/>
          <w:sz w:val="20"/>
          <w:szCs w:val="20"/>
        </w:rPr>
        <w:t>asmenų tyčinė veika, vandalizmas; užpylimas (jei draudžiamas turtas yra pastatuose, kuriuose įrengta sprinklerinė sistema); transporto</w:t>
      </w:r>
      <w:r>
        <w:rPr>
          <w:rFonts w:ascii="Open Sans" w:hAnsi="Open Sans" w:cs="Open Sans"/>
          <w:color w:val="595959" w:themeColor="text1" w:themeTint="A6"/>
          <w:sz w:val="20"/>
          <w:szCs w:val="20"/>
        </w:rPr>
        <w:t xml:space="preserve"> </w:t>
      </w:r>
      <w:r w:rsidRPr="00047AC0">
        <w:rPr>
          <w:rFonts w:ascii="Open Sans" w:hAnsi="Open Sans" w:cs="Open Sans"/>
          <w:color w:val="595959" w:themeColor="text1" w:themeTint="A6"/>
          <w:sz w:val="20"/>
          <w:szCs w:val="20"/>
        </w:rPr>
        <w:t>priemonės atsitrenkimas (įrenginiams, kurie yra teritorijoje, kurioje juda transporto priemonės ar mobilūs įrengimai). Biuro, kompiuterinė, medicinos</w:t>
      </w:r>
      <w:r>
        <w:rPr>
          <w:rFonts w:ascii="Open Sans" w:hAnsi="Open Sans" w:cs="Open Sans"/>
          <w:color w:val="595959" w:themeColor="text1" w:themeTint="A6"/>
          <w:sz w:val="20"/>
          <w:szCs w:val="20"/>
        </w:rPr>
        <w:t xml:space="preserve"> </w:t>
      </w:r>
      <w:r w:rsidRPr="00047AC0">
        <w:rPr>
          <w:rFonts w:ascii="Open Sans" w:hAnsi="Open Sans" w:cs="Open Sans"/>
          <w:color w:val="595959" w:themeColor="text1" w:themeTint="A6"/>
          <w:sz w:val="20"/>
          <w:szCs w:val="20"/>
        </w:rPr>
        <w:t>technika turi būti apdrausta visų rizikų draudimu, nešiojama elektroninė įranga papildomai turi būti apdrausta nuo vagystės iš transporto priemonės.</w:t>
      </w:r>
      <w:r>
        <w:rPr>
          <w:rFonts w:ascii="Open Sans" w:hAnsi="Open Sans" w:cs="Open Sans"/>
          <w:color w:val="595959" w:themeColor="text1" w:themeTint="A6"/>
          <w:sz w:val="20"/>
          <w:szCs w:val="20"/>
        </w:rPr>
        <w:t xml:space="preserve"> </w:t>
      </w:r>
      <w:r w:rsidRPr="00047AC0">
        <w:rPr>
          <w:rFonts w:ascii="Open Sans" w:hAnsi="Open Sans" w:cs="Open Sans"/>
          <w:color w:val="595959" w:themeColor="text1" w:themeTint="A6"/>
          <w:sz w:val="20"/>
          <w:szCs w:val="20"/>
        </w:rPr>
        <w:t>Prekių atsargos turi būti apdraustos visų rizikų draudimu;</w:t>
      </w:r>
      <w:r>
        <w:rPr>
          <w:rFonts w:ascii="Open Sans" w:hAnsi="Open Sans" w:cs="Open Sans"/>
          <w:color w:val="595959" w:themeColor="text1" w:themeTint="A6"/>
          <w:sz w:val="20"/>
          <w:szCs w:val="20"/>
        </w:rPr>
        <w:t xml:space="preserve"> </w:t>
      </w:r>
    </w:p>
    <w:p w14:paraId="4F0E8BBF" w14:textId="238F7945" w:rsidR="00047AC0" w:rsidRDefault="00047AC0" w:rsidP="00047AC0">
      <w:pPr>
        <w:spacing w:after="0" w:line="240" w:lineRule="auto"/>
        <w:jc w:val="both"/>
        <w:rPr>
          <w:rFonts w:ascii="Open Sans" w:hAnsi="Open Sans" w:cs="Open Sans"/>
          <w:color w:val="595959" w:themeColor="text1" w:themeTint="A6"/>
          <w:sz w:val="20"/>
          <w:szCs w:val="20"/>
        </w:rPr>
      </w:pPr>
      <w:r w:rsidRPr="00047AC0">
        <w:rPr>
          <w:rFonts w:ascii="Open Sans" w:hAnsi="Open Sans" w:cs="Open Sans"/>
          <w:color w:val="595959" w:themeColor="text1" w:themeTint="A6"/>
          <w:sz w:val="20"/>
          <w:szCs w:val="20"/>
        </w:rPr>
        <w:t xml:space="preserve">3. Draudimo apsaugos galiojimo terminas – ne trumpesnis nei Sutarties įvykdymo bei Sutarties specialiojoje dalyje nurodytas galutinis </w:t>
      </w:r>
      <w:r w:rsidR="007A2586">
        <w:rPr>
          <w:rFonts w:ascii="Open Sans" w:hAnsi="Open Sans" w:cs="Open Sans"/>
          <w:color w:val="595959" w:themeColor="text1" w:themeTint="A6"/>
          <w:sz w:val="20"/>
          <w:szCs w:val="20"/>
        </w:rPr>
        <w:t>k</w:t>
      </w:r>
      <w:r w:rsidRPr="00047AC0">
        <w:rPr>
          <w:rFonts w:ascii="Open Sans" w:hAnsi="Open Sans" w:cs="Open Sans"/>
          <w:color w:val="595959" w:themeColor="text1" w:themeTint="A6"/>
          <w:sz w:val="20"/>
          <w:szCs w:val="20"/>
        </w:rPr>
        <w:t>redito</w:t>
      </w:r>
      <w:r>
        <w:rPr>
          <w:rFonts w:ascii="Open Sans" w:hAnsi="Open Sans" w:cs="Open Sans"/>
          <w:color w:val="595959" w:themeColor="text1" w:themeTint="A6"/>
          <w:sz w:val="20"/>
          <w:szCs w:val="20"/>
        </w:rPr>
        <w:t xml:space="preserve"> </w:t>
      </w:r>
      <w:r w:rsidRPr="00047AC0">
        <w:rPr>
          <w:rFonts w:ascii="Open Sans" w:hAnsi="Open Sans" w:cs="Open Sans"/>
          <w:color w:val="595959" w:themeColor="text1" w:themeTint="A6"/>
          <w:sz w:val="20"/>
          <w:szCs w:val="20"/>
        </w:rPr>
        <w:t xml:space="preserve">lėšų grąžinimo terminas plius 3 mėnesiai. Kredito gavėjui pateikus draudimą trumpesniam nei šiame punkte numatytam terminui, </w:t>
      </w:r>
      <w:r w:rsidR="007A2586">
        <w:rPr>
          <w:rFonts w:ascii="Open Sans" w:hAnsi="Open Sans" w:cs="Open Sans"/>
          <w:color w:val="595959" w:themeColor="text1" w:themeTint="A6"/>
          <w:sz w:val="20"/>
          <w:szCs w:val="20"/>
        </w:rPr>
        <w:t>k</w:t>
      </w:r>
      <w:r w:rsidRPr="00047AC0">
        <w:rPr>
          <w:rFonts w:ascii="Open Sans" w:hAnsi="Open Sans" w:cs="Open Sans"/>
          <w:color w:val="595959" w:themeColor="text1" w:themeTint="A6"/>
          <w:sz w:val="20"/>
          <w:szCs w:val="20"/>
        </w:rPr>
        <w:t>redito gavėjas turi</w:t>
      </w:r>
      <w:r>
        <w:rPr>
          <w:rFonts w:ascii="Open Sans" w:hAnsi="Open Sans" w:cs="Open Sans"/>
          <w:color w:val="595959" w:themeColor="text1" w:themeTint="A6"/>
          <w:sz w:val="20"/>
          <w:szCs w:val="20"/>
        </w:rPr>
        <w:t xml:space="preserve"> </w:t>
      </w:r>
      <w:r w:rsidRPr="00047AC0">
        <w:rPr>
          <w:rFonts w:ascii="Open Sans" w:hAnsi="Open Sans" w:cs="Open Sans"/>
          <w:color w:val="595959" w:themeColor="text1" w:themeTint="A6"/>
          <w:sz w:val="20"/>
          <w:szCs w:val="20"/>
        </w:rPr>
        <w:t>užtikrinti nepertraukiamą draudimo apsaugos galiojimą ir reguliarų draudimo galiojimo termino pratesimą iki pilno prievolių pagal šią Sutartį įvykdymo;</w:t>
      </w:r>
      <w:r>
        <w:rPr>
          <w:rFonts w:ascii="Open Sans" w:hAnsi="Open Sans" w:cs="Open Sans"/>
          <w:color w:val="595959" w:themeColor="text1" w:themeTint="A6"/>
          <w:sz w:val="20"/>
          <w:szCs w:val="20"/>
        </w:rPr>
        <w:t xml:space="preserve"> </w:t>
      </w:r>
    </w:p>
    <w:p w14:paraId="1E5A63A0" w14:textId="78CD2CE9" w:rsidR="00047AC0" w:rsidRDefault="00047AC0" w:rsidP="00047AC0">
      <w:pPr>
        <w:spacing w:after="0" w:line="240" w:lineRule="auto"/>
        <w:jc w:val="both"/>
        <w:rPr>
          <w:rFonts w:ascii="Open Sans" w:hAnsi="Open Sans" w:cs="Open Sans"/>
          <w:color w:val="595959" w:themeColor="text1" w:themeTint="A6"/>
          <w:sz w:val="20"/>
          <w:szCs w:val="20"/>
        </w:rPr>
      </w:pPr>
      <w:r w:rsidRPr="00047AC0">
        <w:rPr>
          <w:rFonts w:ascii="Open Sans" w:hAnsi="Open Sans" w:cs="Open Sans"/>
          <w:color w:val="595959" w:themeColor="text1" w:themeTint="A6"/>
          <w:sz w:val="20"/>
          <w:szCs w:val="20"/>
        </w:rPr>
        <w:t xml:space="preserve">4. Draudimo apsaugos galiojimo vieta: kelių transporto   priemonių ir jų priekabų </w:t>
      </w:r>
      <w:r w:rsidR="00766EA8">
        <w:rPr>
          <w:rFonts w:ascii="Open Sans" w:hAnsi="Open Sans" w:cs="Open Sans"/>
          <w:color w:val="595959" w:themeColor="text1" w:themeTint="A6"/>
          <w:sz w:val="20"/>
          <w:szCs w:val="20"/>
        </w:rPr>
        <w:t xml:space="preserve">– </w:t>
      </w:r>
      <w:r w:rsidRPr="00047AC0">
        <w:rPr>
          <w:rFonts w:ascii="Open Sans" w:hAnsi="Open Sans" w:cs="Open Sans"/>
          <w:color w:val="595959" w:themeColor="text1" w:themeTint="A6"/>
          <w:sz w:val="20"/>
          <w:szCs w:val="20"/>
        </w:rPr>
        <w:t>geografinė   Europos teritorija, jei transporto priemonė</w:t>
      </w:r>
      <w:r>
        <w:rPr>
          <w:rFonts w:ascii="Open Sans" w:hAnsi="Open Sans" w:cs="Open Sans"/>
          <w:color w:val="595959" w:themeColor="text1" w:themeTint="A6"/>
          <w:sz w:val="20"/>
          <w:szCs w:val="20"/>
        </w:rPr>
        <w:t xml:space="preserve">s </w:t>
      </w:r>
      <w:r w:rsidRPr="00047AC0">
        <w:rPr>
          <w:rFonts w:ascii="Open Sans" w:hAnsi="Open Sans" w:cs="Open Sans"/>
          <w:color w:val="595959" w:themeColor="text1" w:themeTint="A6"/>
          <w:sz w:val="20"/>
          <w:szCs w:val="20"/>
        </w:rPr>
        <w:t>naudojamos už Europos geografinių ribų, draudimo apsauga turi galioti ir šalyse, kuriose transporto priemonės yra arba bus naudojamos; mobiliosios</w:t>
      </w:r>
      <w:r>
        <w:rPr>
          <w:rFonts w:ascii="Open Sans" w:hAnsi="Open Sans" w:cs="Open Sans"/>
          <w:color w:val="595959" w:themeColor="text1" w:themeTint="A6"/>
          <w:sz w:val="20"/>
          <w:szCs w:val="20"/>
        </w:rPr>
        <w:t xml:space="preserve"> </w:t>
      </w:r>
      <w:r w:rsidRPr="00047AC0">
        <w:rPr>
          <w:rFonts w:ascii="Open Sans" w:hAnsi="Open Sans" w:cs="Open Sans"/>
          <w:color w:val="595959" w:themeColor="text1" w:themeTint="A6"/>
          <w:sz w:val="20"/>
          <w:szCs w:val="20"/>
        </w:rPr>
        <w:t>technikos –  Lietuvos Respublikos teritorija, jei mobilioji technika naudojama ar bus naudojama už Lietuvos Respublikos ribų, draudimo apsauga turi</w:t>
      </w:r>
      <w:r>
        <w:rPr>
          <w:rFonts w:ascii="Open Sans" w:hAnsi="Open Sans" w:cs="Open Sans"/>
          <w:color w:val="595959" w:themeColor="text1" w:themeTint="A6"/>
          <w:sz w:val="20"/>
          <w:szCs w:val="20"/>
        </w:rPr>
        <w:t xml:space="preserve"> </w:t>
      </w:r>
      <w:r w:rsidRPr="00047AC0">
        <w:rPr>
          <w:rFonts w:ascii="Open Sans" w:hAnsi="Open Sans" w:cs="Open Sans"/>
          <w:color w:val="595959" w:themeColor="text1" w:themeTint="A6"/>
          <w:sz w:val="20"/>
          <w:szCs w:val="20"/>
        </w:rPr>
        <w:t>galioti ir tose šalyse, kuriose mobilioji technika yra arba bus naudojama. Kito šiame punkte nenurodyto turto draudimo apsaugos galiojimo vieta – turto</w:t>
      </w:r>
      <w:r>
        <w:rPr>
          <w:rFonts w:ascii="Open Sans" w:hAnsi="Open Sans" w:cs="Open Sans"/>
          <w:color w:val="595959" w:themeColor="text1" w:themeTint="A6"/>
          <w:sz w:val="20"/>
          <w:szCs w:val="20"/>
        </w:rPr>
        <w:t xml:space="preserve"> </w:t>
      </w:r>
      <w:r w:rsidRPr="00047AC0">
        <w:rPr>
          <w:rFonts w:ascii="Open Sans" w:hAnsi="Open Sans" w:cs="Open Sans"/>
          <w:color w:val="595959" w:themeColor="text1" w:themeTint="A6"/>
          <w:sz w:val="20"/>
          <w:szCs w:val="20"/>
        </w:rPr>
        <w:t>buvimo vieta;</w:t>
      </w:r>
      <w:r>
        <w:rPr>
          <w:rFonts w:ascii="Open Sans" w:hAnsi="Open Sans" w:cs="Open Sans"/>
          <w:color w:val="595959" w:themeColor="text1" w:themeTint="A6"/>
          <w:sz w:val="20"/>
          <w:szCs w:val="20"/>
        </w:rPr>
        <w:t xml:space="preserve"> </w:t>
      </w:r>
    </w:p>
    <w:p w14:paraId="6105CBA8" w14:textId="77777777" w:rsidR="00047AC0" w:rsidRDefault="00047AC0" w:rsidP="00047AC0">
      <w:pPr>
        <w:spacing w:after="0" w:line="240" w:lineRule="auto"/>
        <w:jc w:val="both"/>
        <w:rPr>
          <w:rFonts w:ascii="Open Sans" w:hAnsi="Open Sans" w:cs="Open Sans"/>
          <w:color w:val="595959" w:themeColor="text1" w:themeTint="A6"/>
          <w:sz w:val="20"/>
          <w:szCs w:val="20"/>
        </w:rPr>
      </w:pPr>
      <w:r w:rsidRPr="00047AC0">
        <w:rPr>
          <w:rFonts w:ascii="Open Sans" w:hAnsi="Open Sans" w:cs="Open Sans"/>
          <w:color w:val="595959" w:themeColor="text1" w:themeTint="A6"/>
          <w:sz w:val="20"/>
          <w:szCs w:val="20"/>
        </w:rPr>
        <w:t>5. Išskaita (franšizė): draudžiant kelių transporto priemones, išskaitos dydis vagystės ir plėšimo atvejais neturi viršyti 10% draudimo sumos, kitais</w:t>
      </w:r>
      <w:r>
        <w:rPr>
          <w:rFonts w:ascii="Open Sans" w:hAnsi="Open Sans" w:cs="Open Sans"/>
          <w:color w:val="595959" w:themeColor="text1" w:themeTint="A6"/>
          <w:sz w:val="20"/>
          <w:szCs w:val="20"/>
        </w:rPr>
        <w:t xml:space="preserve"> </w:t>
      </w:r>
      <w:r w:rsidRPr="00047AC0">
        <w:rPr>
          <w:rFonts w:ascii="Open Sans" w:hAnsi="Open Sans" w:cs="Open Sans"/>
          <w:color w:val="595959" w:themeColor="text1" w:themeTint="A6"/>
          <w:sz w:val="20"/>
          <w:szCs w:val="20"/>
        </w:rPr>
        <w:t>atvejais – 2% draudimo sumos. Draudžiant kitą turtą, išskaitos dydis neturi viršyti 2% draudimo sumos;</w:t>
      </w:r>
    </w:p>
    <w:p w14:paraId="2A5F8B37" w14:textId="78B25F7F" w:rsidR="00E55813" w:rsidRPr="007179E8" w:rsidRDefault="00047AC0" w:rsidP="00047AC0">
      <w:pPr>
        <w:spacing w:after="0" w:line="240" w:lineRule="auto"/>
        <w:jc w:val="both"/>
        <w:rPr>
          <w:rFonts w:ascii="Open Sans" w:hAnsi="Open Sans" w:cs="Open Sans"/>
          <w:color w:val="595959" w:themeColor="text1" w:themeTint="A6"/>
          <w:sz w:val="20"/>
          <w:szCs w:val="20"/>
        </w:rPr>
      </w:pPr>
      <w:r w:rsidRPr="00047AC0">
        <w:rPr>
          <w:rFonts w:ascii="Open Sans" w:hAnsi="Open Sans" w:cs="Open Sans"/>
          <w:color w:val="595959" w:themeColor="text1" w:themeTint="A6"/>
          <w:sz w:val="20"/>
          <w:szCs w:val="20"/>
        </w:rPr>
        <w:t xml:space="preserve">6. Draudimo sutartyje naudos (draudimo išmokos) gavėju turi būti nurodyta </w:t>
      </w:r>
      <w:r w:rsidR="00811F5E">
        <w:rPr>
          <w:rFonts w:ascii="Open Sans" w:hAnsi="Open Sans" w:cs="Open Sans"/>
          <w:color w:val="595959" w:themeColor="text1" w:themeTint="A6"/>
          <w:sz w:val="20"/>
          <w:szCs w:val="20"/>
        </w:rPr>
        <w:t>k</w:t>
      </w:r>
      <w:r>
        <w:rPr>
          <w:rFonts w:ascii="Open Sans" w:hAnsi="Open Sans" w:cs="Open Sans"/>
          <w:color w:val="595959" w:themeColor="text1" w:themeTint="A6"/>
          <w:sz w:val="20"/>
          <w:szCs w:val="20"/>
        </w:rPr>
        <w:t>redito u</w:t>
      </w:r>
      <w:r w:rsidRPr="00047AC0">
        <w:rPr>
          <w:rFonts w:ascii="Open Sans" w:hAnsi="Open Sans" w:cs="Open Sans"/>
          <w:color w:val="595959" w:themeColor="text1" w:themeTint="A6"/>
          <w:sz w:val="20"/>
          <w:szCs w:val="20"/>
        </w:rPr>
        <w:t>nija.</w:t>
      </w:r>
    </w:p>
    <w:p w14:paraId="3E14364A" w14:textId="25801CCF" w:rsidR="000F4409" w:rsidRDefault="000F4409" w:rsidP="007179E8">
      <w:pPr>
        <w:spacing w:after="0" w:line="240" w:lineRule="auto"/>
        <w:rPr>
          <w:rFonts w:ascii="Open Sans" w:hAnsi="Open Sans" w:cs="Open Sans"/>
          <w:color w:val="595959" w:themeColor="text1" w:themeTint="A6"/>
          <w:sz w:val="20"/>
          <w:szCs w:val="20"/>
        </w:rPr>
      </w:pPr>
    </w:p>
    <w:p w14:paraId="5FAD3F24" w14:textId="3685B677" w:rsidR="003A30A8" w:rsidRDefault="00363B5D" w:rsidP="008160F0">
      <w:pPr>
        <w:spacing w:after="0" w:line="240" w:lineRule="auto"/>
        <w:jc w:val="both"/>
        <w:rPr>
          <w:rFonts w:ascii="Open Sans" w:hAnsi="Open Sans" w:cs="Open Sans"/>
          <w:color w:val="595959" w:themeColor="text1" w:themeTint="A6"/>
          <w:sz w:val="20"/>
          <w:szCs w:val="20"/>
        </w:rPr>
      </w:pPr>
      <w:r>
        <w:rPr>
          <w:rFonts w:ascii="Open Sans" w:hAnsi="Open Sans" w:cs="Open Sans"/>
          <w:b/>
          <w:bCs/>
          <w:color w:val="595959" w:themeColor="text1" w:themeTint="A6"/>
          <w:sz w:val="20"/>
          <w:szCs w:val="20"/>
        </w:rPr>
        <w:t>Į</w:t>
      </w:r>
      <w:r w:rsidR="007179E8" w:rsidRPr="000F4409">
        <w:rPr>
          <w:rFonts w:ascii="Open Sans" w:hAnsi="Open Sans" w:cs="Open Sans"/>
          <w:b/>
          <w:bCs/>
          <w:color w:val="595959" w:themeColor="text1" w:themeTint="A6"/>
          <w:sz w:val="20"/>
          <w:szCs w:val="20"/>
        </w:rPr>
        <w:t>sipareigojimų pagal kredito sutartį neįvykdymo pasekm</w:t>
      </w:r>
      <w:r>
        <w:rPr>
          <w:rFonts w:ascii="Open Sans" w:hAnsi="Open Sans" w:cs="Open Sans"/>
          <w:b/>
          <w:bCs/>
          <w:color w:val="595959" w:themeColor="text1" w:themeTint="A6"/>
          <w:sz w:val="20"/>
          <w:szCs w:val="20"/>
        </w:rPr>
        <w:t>ės</w:t>
      </w:r>
      <w:r w:rsidR="008160F0">
        <w:rPr>
          <w:rFonts w:ascii="Open Sans" w:hAnsi="Open Sans" w:cs="Open Sans"/>
          <w:b/>
          <w:bCs/>
          <w:color w:val="595959" w:themeColor="text1" w:themeTint="A6"/>
          <w:sz w:val="20"/>
          <w:szCs w:val="20"/>
        </w:rPr>
        <w:t xml:space="preserve"> - </w:t>
      </w:r>
      <w:r w:rsidR="008160F0" w:rsidRPr="008160F0">
        <w:rPr>
          <w:rFonts w:ascii="Open Sans" w:hAnsi="Open Sans" w:cs="Open Sans"/>
          <w:color w:val="595959" w:themeColor="text1" w:themeTint="A6"/>
          <w:sz w:val="20"/>
          <w:szCs w:val="20"/>
        </w:rPr>
        <w:t>k</w:t>
      </w:r>
      <w:r w:rsidR="0063297A" w:rsidRPr="0063297A">
        <w:rPr>
          <w:rFonts w:ascii="Open Sans" w:hAnsi="Open Sans" w:cs="Open Sans"/>
          <w:color w:val="595959" w:themeColor="text1" w:themeTint="A6"/>
          <w:sz w:val="20"/>
          <w:szCs w:val="20"/>
        </w:rPr>
        <w:t xml:space="preserve">redito gavėjui nevykdant įsipareigojimų arba vykdant juos netinkamai, </w:t>
      </w:r>
      <w:r w:rsidR="0063297A">
        <w:rPr>
          <w:rFonts w:ascii="Open Sans" w:hAnsi="Open Sans" w:cs="Open Sans"/>
          <w:color w:val="595959" w:themeColor="text1" w:themeTint="A6"/>
          <w:sz w:val="20"/>
          <w:szCs w:val="20"/>
        </w:rPr>
        <w:t>kredito u</w:t>
      </w:r>
      <w:r w:rsidR="0063297A" w:rsidRPr="0063297A">
        <w:rPr>
          <w:rFonts w:ascii="Open Sans" w:hAnsi="Open Sans" w:cs="Open Sans"/>
          <w:color w:val="595959" w:themeColor="text1" w:themeTint="A6"/>
          <w:sz w:val="20"/>
          <w:szCs w:val="20"/>
        </w:rPr>
        <w:t xml:space="preserve">nija patvariojoje laikmenoje pateikia </w:t>
      </w:r>
      <w:r w:rsidR="0063297A">
        <w:rPr>
          <w:rFonts w:ascii="Open Sans" w:hAnsi="Open Sans" w:cs="Open Sans"/>
          <w:color w:val="595959" w:themeColor="text1" w:themeTint="A6"/>
          <w:sz w:val="20"/>
          <w:szCs w:val="20"/>
        </w:rPr>
        <w:t>k</w:t>
      </w:r>
      <w:r w:rsidR="0063297A" w:rsidRPr="0063297A">
        <w:rPr>
          <w:rFonts w:ascii="Open Sans" w:hAnsi="Open Sans" w:cs="Open Sans"/>
          <w:color w:val="595959" w:themeColor="text1" w:themeTint="A6"/>
          <w:sz w:val="20"/>
          <w:szCs w:val="20"/>
        </w:rPr>
        <w:t>redito  gavėjui  informaciją,</w:t>
      </w:r>
      <w:r w:rsidR="0063297A">
        <w:rPr>
          <w:rFonts w:ascii="Open Sans" w:hAnsi="Open Sans" w:cs="Open Sans"/>
          <w:color w:val="595959" w:themeColor="text1" w:themeTint="A6"/>
          <w:sz w:val="20"/>
          <w:szCs w:val="20"/>
        </w:rPr>
        <w:t xml:space="preserve"> </w:t>
      </w:r>
      <w:r w:rsidR="0063297A" w:rsidRPr="0063297A">
        <w:rPr>
          <w:rFonts w:ascii="Open Sans" w:hAnsi="Open Sans" w:cs="Open Sans"/>
          <w:color w:val="595959" w:themeColor="text1" w:themeTint="A6"/>
          <w:sz w:val="20"/>
          <w:szCs w:val="20"/>
        </w:rPr>
        <w:t xml:space="preserve">kokie įsipareigojimai nėra vykdomi arba netinkamai vykdomi, pradelstų </w:t>
      </w:r>
      <w:r w:rsidR="0063297A">
        <w:rPr>
          <w:rFonts w:ascii="Open Sans" w:hAnsi="Open Sans" w:cs="Open Sans"/>
          <w:color w:val="595959" w:themeColor="text1" w:themeTint="A6"/>
          <w:sz w:val="20"/>
          <w:szCs w:val="20"/>
        </w:rPr>
        <w:t>k</w:t>
      </w:r>
      <w:r w:rsidR="0063297A" w:rsidRPr="0063297A">
        <w:rPr>
          <w:rFonts w:ascii="Open Sans" w:hAnsi="Open Sans" w:cs="Open Sans"/>
          <w:color w:val="595959" w:themeColor="text1" w:themeTint="A6"/>
          <w:sz w:val="20"/>
          <w:szCs w:val="20"/>
        </w:rPr>
        <w:t>redito įmokų (jų dalies) ir mokėtinų netesybų dydžius, taip pat tikslią likusią</w:t>
      </w:r>
      <w:r w:rsidR="0063297A">
        <w:rPr>
          <w:rFonts w:ascii="Open Sans" w:hAnsi="Open Sans" w:cs="Open Sans"/>
          <w:color w:val="595959" w:themeColor="text1" w:themeTint="A6"/>
          <w:sz w:val="20"/>
          <w:szCs w:val="20"/>
        </w:rPr>
        <w:t xml:space="preserve"> </w:t>
      </w:r>
      <w:r w:rsidR="0063297A" w:rsidRPr="0063297A">
        <w:rPr>
          <w:rFonts w:ascii="Open Sans" w:hAnsi="Open Sans" w:cs="Open Sans"/>
          <w:color w:val="595959" w:themeColor="text1" w:themeTint="A6"/>
          <w:sz w:val="20"/>
          <w:szCs w:val="20"/>
        </w:rPr>
        <w:t xml:space="preserve">grąžinti </w:t>
      </w:r>
      <w:r w:rsidR="0063297A">
        <w:rPr>
          <w:rFonts w:ascii="Open Sans" w:hAnsi="Open Sans" w:cs="Open Sans"/>
          <w:color w:val="595959" w:themeColor="text1" w:themeTint="A6"/>
          <w:sz w:val="20"/>
          <w:szCs w:val="20"/>
        </w:rPr>
        <w:t>k</w:t>
      </w:r>
      <w:r w:rsidR="0063297A" w:rsidRPr="0063297A">
        <w:rPr>
          <w:rFonts w:ascii="Open Sans" w:hAnsi="Open Sans" w:cs="Open Sans"/>
          <w:color w:val="595959" w:themeColor="text1" w:themeTint="A6"/>
          <w:sz w:val="20"/>
          <w:szCs w:val="20"/>
        </w:rPr>
        <w:t xml:space="preserve">redito sumą bei protingą terminą nevykdomiems arba netinkamai vykdomiems įsipareigojimams įvykdyti. </w:t>
      </w:r>
    </w:p>
    <w:p w14:paraId="1519BC87" w14:textId="6AA61AB0" w:rsidR="00E55813" w:rsidRPr="007179E8" w:rsidRDefault="003A30A8" w:rsidP="0063297A">
      <w:pPr>
        <w:spacing w:after="0" w:line="240" w:lineRule="auto"/>
        <w:jc w:val="both"/>
        <w:rPr>
          <w:rFonts w:ascii="Open Sans" w:hAnsi="Open Sans" w:cs="Open Sans"/>
          <w:color w:val="595959" w:themeColor="text1" w:themeTint="A6"/>
          <w:sz w:val="20"/>
          <w:szCs w:val="20"/>
        </w:rPr>
      </w:pPr>
      <w:r w:rsidRPr="0063297A">
        <w:rPr>
          <w:rFonts w:ascii="Open Sans" w:hAnsi="Open Sans" w:cs="Open Sans"/>
          <w:color w:val="595959" w:themeColor="text1" w:themeTint="A6"/>
          <w:sz w:val="20"/>
          <w:szCs w:val="20"/>
        </w:rPr>
        <w:t>Kredito gavėjui nevykdant įsipareigojimų</w:t>
      </w:r>
      <w:r>
        <w:rPr>
          <w:rFonts w:ascii="Open Sans" w:hAnsi="Open Sans" w:cs="Open Sans"/>
          <w:color w:val="595959" w:themeColor="text1" w:themeTint="A6"/>
          <w:sz w:val="20"/>
          <w:szCs w:val="20"/>
        </w:rPr>
        <w:t xml:space="preserve"> </w:t>
      </w:r>
      <w:r w:rsidR="00811F5E">
        <w:rPr>
          <w:rFonts w:ascii="Open Sans" w:hAnsi="Open Sans" w:cs="Open Sans"/>
          <w:color w:val="595959" w:themeColor="text1" w:themeTint="A6"/>
          <w:sz w:val="20"/>
          <w:szCs w:val="20"/>
        </w:rPr>
        <w:t>kredito u</w:t>
      </w:r>
      <w:r w:rsidR="0063297A" w:rsidRPr="0063297A">
        <w:rPr>
          <w:rFonts w:ascii="Open Sans" w:hAnsi="Open Sans" w:cs="Open Sans"/>
          <w:color w:val="595959" w:themeColor="text1" w:themeTint="A6"/>
          <w:sz w:val="20"/>
          <w:szCs w:val="20"/>
        </w:rPr>
        <w:t xml:space="preserve">nija turi teisę </w:t>
      </w:r>
      <w:r w:rsidR="0063297A">
        <w:rPr>
          <w:rFonts w:ascii="Open Sans" w:hAnsi="Open Sans" w:cs="Open Sans"/>
          <w:color w:val="595959" w:themeColor="text1" w:themeTint="A6"/>
          <w:sz w:val="20"/>
          <w:szCs w:val="20"/>
        </w:rPr>
        <w:t>v</w:t>
      </w:r>
      <w:r w:rsidR="0063297A" w:rsidRPr="0063297A">
        <w:rPr>
          <w:rFonts w:ascii="Open Sans" w:hAnsi="Open Sans" w:cs="Open Sans"/>
          <w:color w:val="595959" w:themeColor="text1" w:themeTint="A6"/>
          <w:sz w:val="20"/>
          <w:szCs w:val="20"/>
        </w:rPr>
        <w:t xml:space="preserve">ienašališkai nutraukti </w:t>
      </w:r>
      <w:r w:rsidR="0063297A">
        <w:rPr>
          <w:rFonts w:ascii="Open Sans" w:hAnsi="Open Sans" w:cs="Open Sans"/>
          <w:color w:val="595959" w:themeColor="text1" w:themeTint="A6"/>
          <w:sz w:val="20"/>
          <w:szCs w:val="20"/>
        </w:rPr>
        <w:t>kredito s</w:t>
      </w:r>
      <w:r w:rsidR="0063297A" w:rsidRPr="0063297A">
        <w:rPr>
          <w:rFonts w:ascii="Open Sans" w:hAnsi="Open Sans" w:cs="Open Sans"/>
          <w:color w:val="595959" w:themeColor="text1" w:themeTint="A6"/>
          <w:sz w:val="20"/>
          <w:szCs w:val="20"/>
        </w:rPr>
        <w:t xml:space="preserve">utartį arba pareikalauti grąžinti visą </w:t>
      </w:r>
      <w:r w:rsidR="00811F5E">
        <w:rPr>
          <w:rFonts w:ascii="Open Sans" w:hAnsi="Open Sans" w:cs="Open Sans"/>
          <w:color w:val="595959" w:themeColor="text1" w:themeTint="A6"/>
          <w:sz w:val="20"/>
          <w:szCs w:val="20"/>
        </w:rPr>
        <w:t>k</w:t>
      </w:r>
      <w:r w:rsidR="0063297A" w:rsidRPr="0063297A">
        <w:rPr>
          <w:rFonts w:ascii="Open Sans" w:hAnsi="Open Sans" w:cs="Open Sans"/>
          <w:color w:val="595959" w:themeColor="text1" w:themeTint="A6"/>
          <w:sz w:val="20"/>
          <w:szCs w:val="20"/>
        </w:rPr>
        <w:t xml:space="preserve">redito sumą nepasibaigus </w:t>
      </w:r>
      <w:r w:rsidR="0063297A">
        <w:rPr>
          <w:rFonts w:ascii="Open Sans" w:hAnsi="Open Sans" w:cs="Open Sans"/>
          <w:color w:val="595959" w:themeColor="text1" w:themeTint="A6"/>
          <w:sz w:val="20"/>
          <w:szCs w:val="20"/>
        </w:rPr>
        <w:t>kredito s</w:t>
      </w:r>
      <w:r w:rsidR="0063297A" w:rsidRPr="0063297A">
        <w:rPr>
          <w:rFonts w:ascii="Open Sans" w:hAnsi="Open Sans" w:cs="Open Sans"/>
          <w:color w:val="595959" w:themeColor="text1" w:themeTint="A6"/>
          <w:sz w:val="20"/>
          <w:szCs w:val="20"/>
        </w:rPr>
        <w:t xml:space="preserve">utarties galiojimo laikotarpiui tik nemažiau kaip du kartus informavus </w:t>
      </w:r>
      <w:r w:rsidR="0063297A">
        <w:rPr>
          <w:rFonts w:ascii="Open Sans" w:hAnsi="Open Sans" w:cs="Open Sans"/>
          <w:color w:val="595959" w:themeColor="text1" w:themeTint="A6"/>
          <w:sz w:val="20"/>
          <w:szCs w:val="20"/>
        </w:rPr>
        <w:t>k</w:t>
      </w:r>
      <w:r w:rsidR="0063297A" w:rsidRPr="0063297A">
        <w:rPr>
          <w:rFonts w:ascii="Open Sans" w:hAnsi="Open Sans" w:cs="Open Sans"/>
          <w:color w:val="595959" w:themeColor="text1" w:themeTint="A6"/>
          <w:sz w:val="20"/>
          <w:szCs w:val="20"/>
        </w:rPr>
        <w:t xml:space="preserve">redito gavėją </w:t>
      </w:r>
      <w:r w:rsidR="0063297A">
        <w:rPr>
          <w:rFonts w:ascii="Open Sans" w:hAnsi="Open Sans" w:cs="Open Sans"/>
          <w:color w:val="595959" w:themeColor="text1" w:themeTint="A6"/>
          <w:sz w:val="20"/>
          <w:szCs w:val="20"/>
        </w:rPr>
        <w:t>kredito s</w:t>
      </w:r>
      <w:r w:rsidR="0063297A" w:rsidRPr="0063297A">
        <w:rPr>
          <w:rFonts w:ascii="Open Sans" w:hAnsi="Open Sans" w:cs="Open Sans"/>
          <w:color w:val="595959" w:themeColor="text1" w:themeTint="A6"/>
          <w:sz w:val="20"/>
          <w:szCs w:val="20"/>
        </w:rPr>
        <w:t xml:space="preserve">utartyje nurodytu būdu, pateikdama </w:t>
      </w:r>
      <w:r w:rsidR="00811F5E">
        <w:rPr>
          <w:rFonts w:ascii="Open Sans" w:hAnsi="Open Sans" w:cs="Open Sans"/>
          <w:color w:val="595959" w:themeColor="text1" w:themeTint="A6"/>
          <w:sz w:val="20"/>
          <w:szCs w:val="20"/>
        </w:rPr>
        <w:t>k</w:t>
      </w:r>
      <w:r w:rsidR="0063297A" w:rsidRPr="0063297A">
        <w:rPr>
          <w:rFonts w:ascii="Open Sans" w:hAnsi="Open Sans" w:cs="Open Sans"/>
          <w:color w:val="595959" w:themeColor="text1" w:themeTint="A6"/>
          <w:sz w:val="20"/>
          <w:szCs w:val="20"/>
        </w:rPr>
        <w:t xml:space="preserve">redito gavėjui </w:t>
      </w:r>
      <w:r w:rsidR="0063297A">
        <w:rPr>
          <w:rFonts w:ascii="Open Sans" w:hAnsi="Open Sans" w:cs="Open Sans"/>
          <w:color w:val="595959" w:themeColor="text1" w:themeTint="A6"/>
          <w:sz w:val="20"/>
          <w:szCs w:val="20"/>
        </w:rPr>
        <w:t xml:space="preserve">aukščiau </w:t>
      </w:r>
      <w:r w:rsidR="0063297A" w:rsidRPr="0063297A">
        <w:rPr>
          <w:rFonts w:ascii="Open Sans" w:hAnsi="Open Sans" w:cs="Open Sans"/>
          <w:color w:val="595959" w:themeColor="text1" w:themeTint="A6"/>
          <w:sz w:val="20"/>
          <w:szCs w:val="20"/>
        </w:rPr>
        <w:t>nurodytą informaciją, bei esant</w:t>
      </w:r>
      <w:r w:rsidR="0063297A">
        <w:rPr>
          <w:rFonts w:ascii="Open Sans" w:hAnsi="Open Sans" w:cs="Open Sans"/>
          <w:color w:val="595959" w:themeColor="text1" w:themeTint="A6"/>
          <w:sz w:val="20"/>
          <w:szCs w:val="20"/>
        </w:rPr>
        <w:t xml:space="preserve"> </w:t>
      </w:r>
      <w:r w:rsidR="0063297A" w:rsidRPr="0063297A">
        <w:rPr>
          <w:rFonts w:ascii="Open Sans" w:hAnsi="Open Sans" w:cs="Open Sans"/>
          <w:color w:val="595959" w:themeColor="text1" w:themeTint="A6"/>
          <w:sz w:val="20"/>
          <w:szCs w:val="20"/>
        </w:rPr>
        <w:t xml:space="preserve">esminiam </w:t>
      </w:r>
      <w:r w:rsidR="0063297A">
        <w:rPr>
          <w:rFonts w:ascii="Open Sans" w:hAnsi="Open Sans" w:cs="Open Sans"/>
          <w:color w:val="595959" w:themeColor="text1" w:themeTint="A6"/>
          <w:sz w:val="20"/>
          <w:szCs w:val="20"/>
        </w:rPr>
        <w:t>kredito s</w:t>
      </w:r>
      <w:r w:rsidR="0063297A" w:rsidRPr="0063297A">
        <w:rPr>
          <w:rFonts w:ascii="Open Sans" w:hAnsi="Open Sans" w:cs="Open Sans"/>
          <w:color w:val="595959" w:themeColor="text1" w:themeTint="A6"/>
          <w:sz w:val="20"/>
          <w:szCs w:val="20"/>
        </w:rPr>
        <w:t xml:space="preserve">utarties pažeidimui, įskaitant, kai įsipareigojimai pagal </w:t>
      </w:r>
      <w:r w:rsidR="0063297A">
        <w:rPr>
          <w:rFonts w:ascii="Open Sans" w:hAnsi="Open Sans" w:cs="Open Sans"/>
          <w:color w:val="595959" w:themeColor="text1" w:themeTint="A6"/>
          <w:sz w:val="20"/>
          <w:szCs w:val="20"/>
        </w:rPr>
        <w:t>s</w:t>
      </w:r>
      <w:r w:rsidR="0063297A" w:rsidRPr="0063297A">
        <w:rPr>
          <w:rFonts w:ascii="Open Sans" w:hAnsi="Open Sans" w:cs="Open Sans"/>
          <w:color w:val="595959" w:themeColor="text1" w:themeTint="A6"/>
          <w:sz w:val="20"/>
          <w:szCs w:val="20"/>
        </w:rPr>
        <w:t>utartį nevykdomi arba netinkamai vykdomi ilgiau kaip 90 dienų ir neįvykdomi per</w:t>
      </w:r>
      <w:r w:rsidR="0063297A">
        <w:rPr>
          <w:rFonts w:ascii="Open Sans" w:hAnsi="Open Sans" w:cs="Open Sans"/>
          <w:color w:val="595959" w:themeColor="text1" w:themeTint="A6"/>
          <w:sz w:val="20"/>
          <w:szCs w:val="20"/>
        </w:rPr>
        <w:t xml:space="preserve"> </w:t>
      </w:r>
      <w:r w:rsidR="0063297A" w:rsidRPr="0063297A">
        <w:rPr>
          <w:rFonts w:ascii="Open Sans" w:hAnsi="Open Sans" w:cs="Open Sans"/>
          <w:color w:val="595959" w:themeColor="text1" w:themeTint="A6"/>
          <w:sz w:val="20"/>
          <w:szCs w:val="20"/>
        </w:rPr>
        <w:t>nustatytą 30 dienų papildomą terminą.</w:t>
      </w:r>
    </w:p>
    <w:p w14:paraId="627E372F" w14:textId="77777777" w:rsidR="000F4409" w:rsidRDefault="000F4409" w:rsidP="007179E8">
      <w:pPr>
        <w:spacing w:after="0" w:line="240" w:lineRule="auto"/>
        <w:rPr>
          <w:rFonts w:ascii="Open Sans" w:hAnsi="Open Sans" w:cs="Open Sans"/>
          <w:color w:val="595959" w:themeColor="text1" w:themeTint="A6"/>
          <w:sz w:val="20"/>
          <w:szCs w:val="20"/>
        </w:rPr>
      </w:pPr>
    </w:p>
    <w:p w14:paraId="7E597A25" w14:textId="77777777" w:rsidR="009B51E5" w:rsidRDefault="009B51E5" w:rsidP="009B51E5">
      <w:pPr>
        <w:spacing w:after="0" w:line="240" w:lineRule="auto"/>
        <w:rPr>
          <w:rFonts w:ascii="Open Sans" w:hAnsi="Open Sans" w:cs="Open Sans"/>
          <w:b/>
          <w:bCs/>
          <w:color w:val="595959" w:themeColor="text1" w:themeTint="A6"/>
          <w:sz w:val="20"/>
          <w:szCs w:val="20"/>
        </w:rPr>
      </w:pPr>
      <w:r>
        <w:rPr>
          <w:rFonts w:ascii="Open Sans" w:hAnsi="Open Sans" w:cs="Open Sans"/>
          <w:b/>
          <w:bCs/>
          <w:color w:val="595959" w:themeColor="text1" w:themeTint="A6"/>
          <w:sz w:val="20"/>
          <w:szCs w:val="20"/>
        </w:rPr>
        <w:t>L</w:t>
      </w:r>
      <w:r w:rsidR="007179E8" w:rsidRPr="00E55813">
        <w:rPr>
          <w:rFonts w:ascii="Open Sans" w:hAnsi="Open Sans" w:cs="Open Sans"/>
          <w:b/>
          <w:bCs/>
          <w:color w:val="595959" w:themeColor="text1" w:themeTint="A6"/>
          <w:sz w:val="20"/>
          <w:szCs w:val="20"/>
        </w:rPr>
        <w:t>yginam</w:t>
      </w:r>
      <w:r>
        <w:rPr>
          <w:rFonts w:ascii="Open Sans" w:hAnsi="Open Sans" w:cs="Open Sans"/>
          <w:b/>
          <w:bCs/>
          <w:color w:val="595959" w:themeColor="text1" w:themeTint="A6"/>
          <w:sz w:val="20"/>
          <w:szCs w:val="20"/>
        </w:rPr>
        <w:t>ieji</w:t>
      </w:r>
      <w:r w:rsidR="007179E8" w:rsidRPr="00E55813">
        <w:rPr>
          <w:rFonts w:ascii="Open Sans" w:hAnsi="Open Sans" w:cs="Open Sans"/>
          <w:b/>
          <w:bCs/>
          <w:color w:val="595959" w:themeColor="text1" w:themeTint="A6"/>
          <w:sz w:val="20"/>
          <w:szCs w:val="20"/>
        </w:rPr>
        <w:t xml:space="preserve"> indek</w:t>
      </w:r>
      <w:r>
        <w:rPr>
          <w:rFonts w:ascii="Open Sans" w:hAnsi="Open Sans" w:cs="Open Sans"/>
          <w:b/>
          <w:bCs/>
          <w:color w:val="595959" w:themeColor="text1" w:themeTint="A6"/>
          <w:sz w:val="20"/>
          <w:szCs w:val="20"/>
        </w:rPr>
        <w:t>sai</w:t>
      </w:r>
      <w:r w:rsidR="007179E8" w:rsidRPr="00E55813">
        <w:rPr>
          <w:rFonts w:ascii="Open Sans" w:hAnsi="Open Sans" w:cs="Open Sans"/>
          <w:b/>
          <w:bCs/>
          <w:color w:val="595959" w:themeColor="text1" w:themeTint="A6"/>
          <w:sz w:val="20"/>
          <w:szCs w:val="20"/>
        </w:rPr>
        <w:t xml:space="preserve"> </w:t>
      </w:r>
    </w:p>
    <w:p w14:paraId="74159134" w14:textId="4E035259" w:rsidR="009B51E5" w:rsidRPr="003A30A8" w:rsidRDefault="003A30A8" w:rsidP="009B51E5">
      <w:pPr>
        <w:spacing w:after="0" w:line="240" w:lineRule="auto"/>
        <w:jc w:val="both"/>
        <w:rPr>
          <w:rFonts w:ascii="Open Sans" w:hAnsi="Open Sans" w:cs="Open Sans"/>
          <w:color w:val="595959" w:themeColor="text1" w:themeTint="A6"/>
          <w:sz w:val="20"/>
          <w:szCs w:val="20"/>
        </w:rPr>
      </w:pPr>
      <w:r w:rsidRPr="003A30A8">
        <w:rPr>
          <w:rFonts w:ascii="Open Sans" w:hAnsi="Open Sans" w:cs="Open Sans"/>
          <w:color w:val="595959" w:themeColor="text1" w:themeTint="A6"/>
          <w:sz w:val="20"/>
          <w:szCs w:val="20"/>
        </w:rPr>
        <w:t>Kintama palūkanų norma – palūkanos, kurias sudaro kintama palūkanų dalis (pvz. EURIBOR indeksas arba UNIBOR12 indeksas) ir kreditui nustatyta marža, kuri paskaičiuojama kiekvienam k</w:t>
      </w:r>
      <w:r w:rsidR="00811F5E">
        <w:rPr>
          <w:rFonts w:ascii="Open Sans" w:hAnsi="Open Sans" w:cs="Open Sans"/>
          <w:color w:val="595959" w:themeColor="text1" w:themeTint="A6"/>
          <w:sz w:val="20"/>
          <w:szCs w:val="20"/>
        </w:rPr>
        <w:t>redito gavėjui</w:t>
      </w:r>
      <w:r w:rsidRPr="003A30A8">
        <w:rPr>
          <w:rFonts w:ascii="Open Sans" w:hAnsi="Open Sans" w:cs="Open Sans"/>
          <w:color w:val="595959" w:themeColor="text1" w:themeTint="A6"/>
          <w:sz w:val="20"/>
          <w:szCs w:val="20"/>
        </w:rPr>
        <w:t xml:space="preserve"> individualiai. Kintamos palūkanos pirmą kartą nustatomos sutarties sudarymo dieną ir nustatytu periodiškumu keičiasi priklausomai nuo </w:t>
      </w:r>
      <w:r w:rsidR="00D57220">
        <w:rPr>
          <w:rFonts w:ascii="Open Sans" w:hAnsi="Open Sans" w:cs="Open Sans"/>
          <w:color w:val="595959" w:themeColor="text1" w:themeTint="A6"/>
          <w:sz w:val="20"/>
          <w:szCs w:val="20"/>
        </w:rPr>
        <w:t>kredito</w:t>
      </w:r>
      <w:r w:rsidRPr="003A30A8">
        <w:rPr>
          <w:rFonts w:ascii="Open Sans" w:hAnsi="Open Sans" w:cs="Open Sans"/>
          <w:color w:val="595959" w:themeColor="text1" w:themeTint="A6"/>
          <w:sz w:val="20"/>
          <w:szCs w:val="20"/>
        </w:rPr>
        <w:t xml:space="preserve"> kintamos </w:t>
      </w:r>
      <w:r w:rsidRPr="003A30A8">
        <w:rPr>
          <w:rFonts w:ascii="Open Sans" w:hAnsi="Open Sans" w:cs="Open Sans"/>
          <w:color w:val="595959" w:themeColor="text1" w:themeTint="A6"/>
          <w:sz w:val="20"/>
          <w:szCs w:val="20"/>
        </w:rPr>
        <w:lastRenderedPageBreak/>
        <w:t xml:space="preserve">palūkanų dalies pokyčių – kylant EURIBOR arba UNIBOR12 indeksui, didėja už </w:t>
      </w:r>
      <w:r w:rsidR="00811F5E">
        <w:rPr>
          <w:rFonts w:ascii="Open Sans" w:hAnsi="Open Sans" w:cs="Open Sans"/>
          <w:color w:val="595959" w:themeColor="text1" w:themeTint="A6"/>
          <w:sz w:val="20"/>
          <w:szCs w:val="20"/>
        </w:rPr>
        <w:t>kreditą</w:t>
      </w:r>
      <w:r w:rsidRPr="003A30A8">
        <w:rPr>
          <w:rFonts w:ascii="Open Sans" w:hAnsi="Open Sans" w:cs="Open Sans"/>
          <w:color w:val="595959" w:themeColor="text1" w:themeTint="A6"/>
          <w:sz w:val="20"/>
          <w:szCs w:val="20"/>
        </w:rPr>
        <w:t xml:space="preserve"> mokamų palūkanos, mažėjant EURIBOR arba UNIBOR12 indeksui mažėja už </w:t>
      </w:r>
      <w:r w:rsidR="00811F5E">
        <w:rPr>
          <w:rFonts w:ascii="Open Sans" w:hAnsi="Open Sans" w:cs="Open Sans"/>
          <w:color w:val="595959" w:themeColor="text1" w:themeTint="A6"/>
          <w:sz w:val="20"/>
          <w:szCs w:val="20"/>
        </w:rPr>
        <w:t>kreditą</w:t>
      </w:r>
      <w:r w:rsidRPr="003A30A8">
        <w:rPr>
          <w:rFonts w:ascii="Open Sans" w:hAnsi="Open Sans" w:cs="Open Sans"/>
          <w:color w:val="595959" w:themeColor="text1" w:themeTint="A6"/>
          <w:sz w:val="20"/>
          <w:szCs w:val="20"/>
        </w:rPr>
        <w:t xml:space="preserve"> mokamos palūkanos. Sutarties sąlygose gali būti numatyta sąlyga, jog indeksui pasiekus neigiamą reikšmę laikoma, kad kintama palūkanų dalis lygi nuliui.</w:t>
      </w:r>
      <w:r w:rsidR="009B51E5" w:rsidRPr="009B51E5">
        <w:rPr>
          <w:rFonts w:ascii="Open Sans" w:hAnsi="Open Sans" w:cs="Open Sans"/>
          <w:color w:val="595959" w:themeColor="text1" w:themeTint="A6"/>
          <w:sz w:val="20"/>
          <w:szCs w:val="20"/>
        </w:rPr>
        <w:t xml:space="preserve"> </w:t>
      </w:r>
      <w:r w:rsidR="009B51E5" w:rsidRPr="003A30A8">
        <w:rPr>
          <w:rFonts w:ascii="Open Sans" w:hAnsi="Open Sans" w:cs="Open Sans"/>
          <w:color w:val="595959" w:themeColor="text1" w:themeTint="A6"/>
          <w:sz w:val="20"/>
          <w:szCs w:val="20"/>
        </w:rPr>
        <w:t xml:space="preserve">Kintama palūkanų dalis, priklausomai nuo sutarties sąlygų, kinta kas, 3, 6 arba 12 mėnesių, todėl bendras mokamų palūkanų dydis gali sumažėti arba padidėti priklausomai nuo kintamos palūkanų dalies pokyčio. </w:t>
      </w:r>
      <w:r w:rsidR="00811F5E">
        <w:rPr>
          <w:rFonts w:ascii="Open Sans" w:hAnsi="Open Sans" w:cs="Open Sans"/>
          <w:color w:val="595959" w:themeColor="text1" w:themeTint="A6"/>
          <w:sz w:val="20"/>
          <w:szCs w:val="20"/>
        </w:rPr>
        <w:t>Jei</w:t>
      </w:r>
      <w:r w:rsidR="009B51E5" w:rsidRPr="003A30A8">
        <w:rPr>
          <w:rFonts w:ascii="Open Sans" w:hAnsi="Open Sans" w:cs="Open Sans"/>
          <w:color w:val="595959" w:themeColor="text1" w:themeTint="A6"/>
          <w:sz w:val="20"/>
          <w:szCs w:val="20"/>
        </w:rPr>
        <w:t xml:space="preserve"> </w:t>
      </w:r>
      <w:r w:rsidR="00811F5E">
        <w:rPr>
          <w:rFonts w:ascii="Open Sans" w:hAnsi="Open Sans" w:cs="Open Sans"/>
          <w:color w:val="595959" w:themeColor="text1" w:themeTint="A6"/>
          <w:sz w:val="20"/>
          <w:szCs w:val="20"/>
        </w:rPr>
        <w:t>kreditas</w:t>
      </w:r>
      <w:r w:rsidR="009B51E5" w:rsidRPr="003A30A8">
        <w:rPr>
          <w:rFonts w:ascii="Open Sans" w:hAnsi="Open Sans" w:cs="Open Sans"/>
          <w:color w:val="595959" w:themeColor="text1" w:themeTint="A6"/>
          <w:sz w:val="20"/>
          <w:szCs w:val="20"/>
        </w:rPr>
        <w:t xml:space="preserve"> </w:t>
      </w:r>
      <w:r w:rsidR="00811F5E">
        <w:rPr>
          <w:rFonts w:ascii="Open Sans" w:hAnsi="Open Sans" w:cs="Open Sans"/>
          <w:color w:val="595959" w:themeColor="text1" w:themeTint="A6"/>
          <w:sz w:val="20"/>
          <w:szCs w:val="20"/>
        </w:rPr>
        <w:t xml:space="preserve">yra </w:t>
      </w:r>
      <w:r w:rsidR="009B51E5" w:rsidRPr="003A30A8">
        <w:rPr>
          <w:rFonts w:ascii="Open Sans" w:hAnsi="Open Sans" w:cs="Open Sans"/>
          <w:color w:val="595959" w:themeColor="text1" w:themeTint="A6"/>
          <w:sz w:val="20"/>
          <w:szCs w:val="20"/>
        </w:rPr>
        <w:t>su kintamomis palūkanų normomis</w:t>
      </w:r>
      <w:r w:rsidR="00811F5E">
        <w:rPr>
          <w:rFonts w:ascii="Open Sans" w:hAnsi="Open Sans" w:cs="Open Sans"/>
          <w:color w:val="595959" w:themeColor="text1" w:themeTint="A6"/>
          <w:sz w:val="20"/>
          <w:szCs w:val="20"/>
        </w:rPr>
        <w:t xml:space="preserve"> reikia</w:t>
      </w:r>
      <w:r w:rsidR="009B51E5" w:rsidRPr="003A30A8">
        <w:rPr>
          <w:rFonts w:ascii="Open Sans" w:hAnsi="Open Sans" w:cs="Open Sans"/>
          <w:color w:val="595959" w:themeColor="text1" w:themeTint="A6"/>
          <w:sz w:val="20"/>
          <w:szCs w:val="20"/>
        </w:rPr>
        <w:t xml:space="preserve"> įvertinti tai, kad kintamos palūkanų dalies didėjimo atveju, mokamos įmokos gali ženkliai padidėti.</w:t>
      </w:r>
    </w:p>
    <w:p w14:paraId="12C5DCCA" w14:textId="7A7076F7" w:rsidR="003A30A8" w:rsidRPr="003A30A8" w:rsidRDefault="003A30A8" w:rsidP="009B51E5">
      <w:pPr>
        <w:spacing w:after="0" w:line="240" w:lineRule="auto"/>
        <w:jc w:val="both"/>
        <w:rPr>
          <w:rFonts w:ascii="Open Sans" w:hAnsi="Open Sans" w:cs="Open Sans"/>
          <w:color w:val="595959" w:themeColor="text1" w:themeTint="A6"/>
          <w:sz w:val="20"/>
          <w:szCs w:val="20"/>
        </w:rPr>
      </w:pPr>
    </w:p>
    <w:p w14:paraId="3EF779AB" w14:textId="77777777" w:rsidR="009B51E5" w:rsidRDefault="009B51E5" w:rsidP="009B51E5">
      <w:pPr>
        <w:spacing w:after="0" w:line="240" w:lineRule="auto"/>
        <w:jc w:val="both"/>
        <w:rPr>
          <w:rFonts w:ascii="Open Sans" w:hAnsi="Open Sans" w:cs="Open Sans"/>
          <w:color w:val="595959" w:themeColor="text1" w:themeTint="A6"/>
          <w:sz w:val="20"/>
          <w:szCs w:val="20"/>
        </w:rPr>
      </w:pPr>
      <w:r w:rsidRPr="009B51E5">
        <w:rPr>
          <w:rFonts w:ascii="Open Sans" w:hAnsi="Open Sans" w:cs="Open Sans"/>
          <w:color w:val="595959" w:themeColor="text1" w:themeTint="A6"/>
          <w:sz w:val="20"/>
          <w:szCs w:val="20"/>
          <w:u w:val="single"/>
        </w:rPr>
        <w:t>EURIBOR</w:t>
      </w:r>
      <w:r w:rsidRPr="00BE2A61">
        <w:rPr>
          <w:rFonts w:ascii="Open Sans" w:hAnsi="Open Sans" w:cs="Open Sans"/>
          <w:color w:val="595959" w:themeColor="text1" w:themeTint="A6"/>
          <w:sz w:val="20"/>
          <w:szCs w:val="20"/>
        </w:rPr>
        <w:t xml:space="preserve"> (angl. Euro Interbank Offered Rate) yra orientacinis palūkanų dydis Europos ekonominėje ir pinigų sąjungoje. EURIBOR yra vidutinės Europos tarpbankinės rinkos palūkanų normos, kuriomis bankai yra pasiruošę skolinti pinigus eurais kitiems bankams.  EURIBOR indekso reikšmes savo tinklalapyje skelbia Europos pinigų rinkos institutas (angl. European Money Markets Institute – EMMI). Kasdien skelbiamas EURIBOR indekso reikšmes galite pamatyti šiame tinklalapyje: </w:t>
      </w:r>
      <w:hyperlink r:id="rId7" w:history="1">
        <w:r w:rsidRPr="00110D3B">
          <w:rPr>
            <w:rStyle w:val="Hyperlink"/>
            <w:rFonts w:ascii="Open Sans" w:hAnsi="Open Sans" w:cs="Open Sans"/>
            <w:sz w:val="20"/>
            <w:szCs w:val="20"/>
          </w:rPr>
          <w:t>https://www.emmi-benchmarks.eu/euribor-org/euribor-rates.html</w:t>
        </w:r>
      </w:hyperlink>
      <w:r>
        <w:rPr>
          <w:rFonts w:ascii="Open Sans" w:hAnsi="Open Sans" w:cs="Open Sans"/>
          <w:color w:val="595959" w:themeColor="text1" w:themeTint="A6"/>
          <w:sz w:val="20"/>
          <w:szCs w:val="20"/>
        </w:rPr>
        <w:t xml:space="preserve"> </w:t>
      </w:r>
      <w:r w:rsidRPr="00BE2A61">
        <w:rPr>
          <w:rFonts w:ascii="Open Sans" w:hAnsi="Open Sans" w:cs="Open Sans"/>
          <w:color w:val="595959" w:themeColor="text1" w:themeTint="A6"/>
          <w:sz w:val="20"/>
          <w:szCs w:val="20"/>
        </w:rPr>
        <w:t>)</w:t>
      </w:r>
    </w:p>
    <w:p w14:paraId="0EF771B0" w14:textId="12B5DCB4" w:rsidR="003A30A8" w:rsidRDefault="003A30A8" w:rsidP="009B51E5">
      <w:pPr>
        <w:spacing w:after="0" w:line="240" w:lineRule="auto"/>
        <w:jc w:val="both"/>
        <w:rPr>
          <w:rFonts w:ascii="Open Sans" w:hAnsi="Open Sans" w:cs="Open Sans"/>
          <w:color w:val="595959" w:themeColor="text1" w:themeTint="A6"/>
          <w:sz w:val="20"/>
          <w:szCs w:val="20"/>
        </w:rPr>
      </w:pPr>
      <w:r w:rsidRPr="009B51E5">
        <w:rPr>
          <w:rFonts w:ascii="Open Sans" w:hAnsi="Open Sans" w:cs="Open Sans"/>
          <w:color w:val="595959" w:themeColor="text1" w:themeTint="A6"/>
          <w:sz w:val="20"/>
          <w:szCs w:val="20"/>
          <w:u w:val="single"/>
        </w:rPr>
        <w:t>UNIBOR12</w:t>
      </w:r>
      <w:r w:rsidRPr="003A30A8">
        <w:rPr>
          <w:rFonts w:ascii="Open Sans" w:hAnsi="Open Sans" w:cs="Open Sans"/>
          <w:color w:val="595959" w:themeColor="text1" w:themeTint="A6"/>
          <w:sz w:val="20"/>
          <w:szCs w:val="20"/>
        </w:rPr>
        <w:t xml:space="preserve"> – tai kintama </w:t>
      </w:r>
      <w:r w:rsidR="00D57220">
        <w:rPr>
          <w:rFonts w:ascii="Open Sans" w:hAnsi="Open Sans" w:cs="Open Sans"/>
          <w:color w:val="595959" w:themeColor="text1" w:themeTint="A6"/>
          <w:sz w:val="20"/>
          <w:szCs w:val="20"/>
        </w:rPr>
        <w:t>kreditų</w:t>
      </w:r>
      <w:r w:rsidRPr="003A30A8">
        <w:rPr>
          <w:rFonts w:ascii="Open Sans" w:hAnsi="Open Sans" w:cs="Open Sans"/>
          <w:color w:val="595959" w:themeColor="text1" w:themeTint="A6"/>
          <w:sz w:val="20"/>
          <w:szCs w:val="20"/>
        </w:rPr>
        <w:t xml:space="preserve"> palūkanų normos dalis, kuri parodo vidutinius Lietuvos centrinės kredito unijos (toliau – LCKU) sistemai priklausančių kredito unijų išteklių kaštus. UNIBOR12 yra vidinis LCKU indeksas ir yra naudojamas tik LCKU sistemai priklausančių kredito unijų palūkanų normoms nustatyti. Indeksas apskaičiuojamas kaip vidutinė svertinė metinė palūkanų norma, už kurią kredito unijos iš savo narių pritraukia 1 metų trukmės (360-367 dienos imtinai) terminuotuosius indėlius. Iš skaičiavimų, eliminuojama 15 proc. indėlių turinčių didžiausią palūkanų normą ir 15 proc. indėlių turinčių mažiausią palūkanų normą, t. y. skaičiavimams naudojami terminuotieji indėliai, kurių palūkanų norma yra tarp 15 ir 85 procenti</w:t>
      </w:r>
      <w:r w:rsidR="00BE2A61">
        <w:rPr>
          <w:rFonts w:ascii="Open Sans" w:hAnsi="Open Sans" w:cs="Open Sans"/>
          <w:color w:val="595959" w:themeColor="text1" w:themeTint="A6"/>
          <w:sz w:val="20"/>
          <w:szCs w:val="20"/>
        </w:rPr>
        <w:t>n</w:t>
      </w:r>
      <w:r w:rsidRPr="003A30A8">
        <w:rPr>
          <w:rFonts w:ascii="Open Sans" w:hAnsi="Open Sans" w:cs="Open Sans"/>
          <w:color w:val="595959" w:themeColor="text1" w:themeTint="A6"/>
          <w:sz w:val="20"/>
          <w:szCs w:val="20"/>
        </w:rPr>
        <w:t xml:space="preserve">ių visų terminuotųjų indėlių. Indeksą nuo 2014 metų skaičiuoja LCKU ir pasibaigus mėnesiui per tris darbo skelbia internetiniame tinklalapyje </w:t>
      </w:r>
      <w:hyperlink r:id="rId8" w:history="1">
        <w:r w:rsidR="00BE2A61" w:rsidRPr="00110D3B">
          <w:rPr>
            <w:rStyle w:val="Hyperlink"/>
            <w:rFonts w:ascii="Open Sans" w:hAnsi="Open Sans" w:cs="Open Sans"/>
            <w:sz w:val="20"/>
            <w:szCs w:val="20"/>
          </w:rPr>
          <w:t>https://lku.lt/apie-mus/palukanu-normos/</w:t>
        </w:r>
      </w:hyperlink>
    </w:p>
    <w:p w14:paraId="791D9CB3" w14:textId="0DF48C0C" w:rsidR="00BE2A61" w:rsidRPr="00811F5E" w:rsidRDefault="00BE2A61" w:rsidP="00811F5E">
      <w:pPr>
        <w:spacing w:after="0" w:line="240" w:lineRule="auto"/>
        <w:jc w:val="both"/>
        <w:rPr>
          <w:rFonts w:ascii="Open Sans" w:hAnsi="Open Sans" w:cs="Open Sans"/>
          <w:color w:val="595959" w:themeColor="text1" w:themeTint="A6"/>
          <w:sz w:val="20"/>
          <w:szCs w:val="20"/>
          <w:u w:val="single"/>
        </w:rPr>
      </w:pPr>
      <w:r w:rsidRPr="00BE2A61">
        <w:rPr>
          <w:rFonts w:ascii="Open Sans" w:hAnsi="Open Sans" w:cs="Open Sans"/>
          <w:color w:val="595959" w:themeColor="text1" w:themeTint="A6"/>
          <w:sz w:val="20"/>
          <w:szCs w:val="20"/>
        </w:rPr>
        <w:t>Jei sutarties kintamai palūkanų daliai nustatyti naudojamas indeksas tam tikrai dienai nėra paskelbtas ar nustatytas, arba jei dėl nenumatytų įvykių jo trumpajame laikotarpyje negalėsime naudoti, tokiu atveju kintamai palūkanų normai nustatyti bus naudojama paskutinė žinoma indekso reikšmė.</w:t>
      </w:r>
    </w:p>
    <w:p w14:paraId="67BDA537" w14:textId="5E5DB055" w:rsidR="00BE2A61" w:rsidRPr="00BE2A61" w:rsidRDefault="00BE2A61" w:rsidP="009B51E5">
      <w:pPr>
        <w:spacing w:after="0" w:line="240" w:lineRule="auto"/>
        <w:jc w:val="both"/>
        <w:rPr>
          <w:rFonts w:ascii="Open Sans" w:hAnsi="Open Sans" w:cs="Open Sans"/>
          <w:color w:val="595959" w:themeColor="text1" w:themeTint="A6"/>
          <w:sz w:val="20"/>
          <w:szCs w:val="20"/>
        </w:rPr>
      </w:pPr>
      <w:r w:rsidRPr="00BE2A61">
        <w:rPr>
          <w:rFonts w:ascii="Open Sans" w:hAnsi="Open Sans" w:cs="Open Sans"/>
          <w:color w:val="595959" w:themeColor="text1" w:themeTint="A6"/>
          <w:sz w:val="20"/>
          <w:szCs w:val="20"/>
        </w:rPr>
        <w:t xml:space="preserve">Jei indeksas ilgiau nei tris mėnesius nebūtų skelbiamas arba sužinojus, kad ateityje bus nutraukiamas lyginamojo indekso skaičiavimas ir teikimas, indekso nebebus leidžiama naudoti finansinėse sutartyse arba indekso nustatymo metodika turės esminių pakeitimų, dėl kurių toliau nebūtų galima naudoti indekso, apie tai informuosime </w:t>
      </w:r>
      <w:r w:rsidR="003C6C45">
        <w:rPr>
          <w:rFonts w:ascii="Open Sans" w:hAnsi="Open Sans" w:cs="Open Sans"/>
          <w:color w:val="595959" w:themeColor="text1" w:themeTint="A6"/>
          <w:sz w:val="20"/>
          <w:szCs w:val="20"/>
        </w:rPr>
        <w:t>kredito gavėjus</w:t>
      </w:r>
      <w:r w:rsidRPr="00BE2A61">
        <w:rPr>
          <w:rFonts w:ascii="Open Sans" w:hAnsi="Open Sans" w:cs="Open Sans"/>
          <w:color w:val="595959" w:themeColor="text1" w:themeTint="A6"/>
          <w:sz w:val="20"/>
          <w:szCs w:val="20"/>
        </w:rPr>
        <w:t xml:space="preserve">, kurių finansinės sutartys ir finansinės priemonės bus paveiktos. Vietoje sutartyje kintamai palūkanų daliai nustatyti naudojamo indekso nustatysime naują pagrįstą kintamos palūkanų dalies indeksą ir apie tai, ne vėliau kaip 60 dienų prieš pakaitinio indekso naudojimo pradžią, informuosime </w:t>
      </w:r>
      <w:r w:rsidR="003C6C45">
        <w:rPr>
          <w:rFonts w:ascii="Open Sans" w:hAnsi="Open Sans" w:cs="Open Sans"/>
          <w:color w:val="595959" w:themeColor="text1" w:themeTint="A6"/>
          <w:sz w:val="20"/>
          <w:szCs w:val="20"/>
        </w:rPr>
        <w:t>kredito gavėjus</w:t>
      </w:r>
      <w:r w:rsidRPr="00BE2A61">
        <w:rPr>
          <w:rFonts w:ascii="Open Sans" w:hAnsi="Open Sans" w:cs="Open Sans"/>
          <w:color w:val="595959" w:themeColor="text1" w:themeTint="A6"/>
          <w:sz w:val="20"/>
          <w:szCs w:val="20"/>
        </w:rPr>
        <w:t>, kurių finansinės sutartys bus paveiktos. Gavę pranešimą, turėsite teisę per 60 dienų, apie tai pranešę raštu, nutraukti sutartį ir iš anksto grąžinti kreditą bei kitas mokėtinas sumas. Tokiu atveju, per 60 dienų nutraukus sutartį, išankstinio kredito grąžinimo mokestis nebus taikomas.</w:t>
      </w:r>
    </w:p>
    <w:p w14:paraId="735A179B" w14:textId="77777777" w:rsidR="00E54253" w:rsidRPr="00970F68" w:rsidRDefault="00E54253" w:rsidP="00E55813">
      <w:pPr>
        <w:rPr>
          <w:rFonts w:ascii="Open Sans" w:hAnsi="Open Sans" w:cs="Open Sans"/>
          <w:b/>
          <w:bCs/>
          <w:color w:val="595959" w:themeColor="text1" w:themeTint="A6"/>
          <w:sz w:val="2"/>
          <w:szCs w:val="2"/>
        </w:rPr>
      </w:pPr>
    </w:p>
    <w:sectPr w:rsidR="00E54253" w:rsidRPr="00970F68" w:rsidSect="008C3C7E">
      <w:pgSz w:w="11906" w:h="16838"/>
      <w:pgMar w:top="567" w:right="720" w:bottom="454"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 Sans">
    <w:altName w:val="Segoe UI"/>
    <w:charset w:val="BA"/>
    <w:family w:val="swiss"/>
    <w:pitch w:val="variable"/>
    <w:sig w:usb0="E00002EF" w:usb1="4000205B" w:usb2="00000028"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A5132"/>
    <w:multiLevelType w:val="hybridMultilevel"/>
    <w:tmpl w:val="CC4871EC"/>
    <w:lvl w:ilvl="0" w:tplc="7236DB54">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B0106ED"/>
    <w:multiLevelType w:val="hybridMultilevel"/>
    <w:tmpl w:val="BC1E839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CAB533E"/>
    <w:multiLevelType w:val="hybridMultilevel"/>
    <w:tmpl w:val="6AACCD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14427D3"/>
    <w:multiLevelType w:val="hybridMultilevel"/>
    <w:tmpl w:val="822C5990"/>
    <w:lvl w:ilvl="0" w:tplc="E712272E">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77F49E6"/>
    <w:multiLevelType w:val="hybridMultilevel"/>
    <w:tmpl w:val="9B4E8F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21968E5"/>
    <w:multiLevelType w:val="hybridMultilevel"/>
    <w:tmpl w:val="AE22DB3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E263E8F"/>
    <w:multiLevelType w:val="hybridMultilevel"/>
    <w:tmpl w:val="1D08157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3C480B"/>
    <w:multiLevelType w:val="hybridMultilevel"/>
    <w:tmpl w:val="F0E64F1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6"/>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E45"/>
    <w:rsid w:val="000104CD"/>
    <w:rsid w:val="000132EE"/>
    <w:rsid w:val="000339A0"/>
    <w:rsid w:val="000368E3"/>
    <w:rsid w:val="00046243"/>
    <w:rsid w:val="00047AC0"/>
    <w:rsid w:val="0007777A"/>
    <w:rsid w:val="00096A1F"/>
    <w:rsid w:val="000F2681"/>
    <w:rsid w:val="000F4409"/>
    <w:rsid w:val="00100DB9"/>
    <w:rsid w:val="00131D9F"/>
    <w:rsid w:val="00145001"/>
    <w:rsid w:val="0016195B"/>
    <w:rsid w:val="00170A7F"/>
    <w:rsid w:val="00182BBB"/>
    <w:rsid w:val="001850EE"/>
    <w:rsid w:val="001A7E6E"/>
    <w:rsid w:val="001B0D43"/>
    <w:rsid w:val="001C008A"/>
    <w:rsid w:val="001E1619"/>
    <w:rsid w:val="001E3DEB"/>
    <w:rsid w:val="001F0CB6"/>
    <w:rsid w:val="001F359C"/>
    <w:rsid w:val="001F6E36"/>
    <w:rsid w:val="002313B7"/>
    <w:rsid w:val="00233C7B"/>
    <w:rsid w:val="00236145"/>
    <w:rsid w:val="00257D0F"/>
    <w:rsid w:val="00274755"/>
    <w:rsid w:val="00295E64"/>
    <w:rsid w:val="002A64D7"/>
    <w:rsid w:val="002C16BA"/>
    <w:rsid w:val="002F1607"/>
    <w:rsid w:val="002F4B59"/>
    <w:rsid w:val="00314873"/>
    <w:rsid w:val="00332482"/>
    <w:rsid w:val="00363B5D"/>
    <w:rsid w:val="003A30A8"/>
    <w:rsid w:val="003C6C45"/>
    <w:rsid w:val="003C711A"/>
    <w:rsid w:val="003E52AC"/>
    <w:rsid w:val="00406938"/>
    <w:rsid w:val="00435C16"/>
    <w:rsid w:val="0046420A"/>
    <w:rsid w:val="004716E2"/>
    <w:rsid w:val="00476104"/>
    <w:rsid w:val="00496490"/>
    <w:rsid w:val="0049726F"/>
    <w:rsid w:val="004A3BD5"/>
    <w:rsid w:val="004A5198"/>
    <w:rsid w:val="004A7FA1"/>
    <w:rsid w:val="004B6310"/>
    <w:rsid w:val="004C6304"/>
    <w:rsid w:val="004D5064"/>
    <w:rsid w:val="00514D4A"/>
    <w:rsid w:val="00514EBF"/>
    <w:rsid w:val="005247F4"/>
    <w:rsid w:val="005254E2"/>
    <w:rsid w:val="00526D6F"/>
    <w:rsid w:val="00527AB0"/>
    <w:rsid w:val="00536CC7"/>
    <w:rsid w:val="00564CE0"/>
    <w:rsid w:val="005A1266"/>
    <w:rsid w:val="005B2BAA"/>
    <w:rsid w:val="005C3C37"/>
    <w:rsid w:val="005C4EFD"/>
    <w:rsid w:val="005F6602"/>
    <w:rsid w:val="00610449"/>
    <w:rsid w:val="00610473"/>
    <w:rsid w:val="006136CB"/>
    <w:rsid w:val="00626E6F"/>
    <w:rsid w:val="0063297A"/>
    <w:rsid w:val="006A16D2"/>
    <w:rsid w:val="006B7BCD"/>
    <w:rsid w:val="006C3FC7"/>
    <w:rsid w:val="006C4A72"/>
    <w:rsid w:val="006D6508"/>
    <w:rsid w:val="006E3CB8"/>
    <w:rsid w:val="006F5716"/>
    <w:rsid w:val="00700EAE"/>
    <w:rsid w:val="00706BCE"/>
    <w:rsid w:val="00710360"/>
    <w:rsid w:val="00716B19"/>
    <w:rsid w:val="007179E8"/>
    <w:rsid w:val="00721D4C"/>
    <w:rsid w:val="007341F7"/>
    <w:rsid w:val="007412ED"/>
    <w:rsid w:val="00746F49"/>
    <w:rsid w:val="00763D3F"/>
    <w:rsid w:val="00766EA8"/>
    <w:rsid w:val="00771866"/>
    <w:rsid w:val="00771D0A"/>
    <w:rsid w:val="0077205A"/>
    <w:rsid w:val="007A2586"/>
    <w:rsid w:val="007C5B10"/>
    <w:rsid w:val="007F602E"/>
    <w:rsid w:val="00804201"/>
    <w:rsid w:val="00805289"/>
    <w:rsid w:val="00811F5E"/>
    <w:rsid w:val="008160F0"/>
    <w:rsid w:val="008415DF"/>
    <w:rsid w:val="00844C18"/>
    <w:rsid w:val="00853272"/>
    <w:rsid w:val="00874922"/>
    <w:rsid w:val="00884F4E"/>
    <w:rsid w:val="00886196"/>
    <w:rsid w:val="00886995"/>
    <w:rsid w:val="008A657A"/>
    <w:rsid w:val="008A6E84"/>
    <w:rsid w:val="008A718F"/>
    <w:rsid w:val="008C3C7E"/>
    <w:rsid w:val="008E317F"/>
    <w:rsid w:val="008E4270"/>
    <w:rsid w:val="00910366"/>
    <w:rsid w:val="00924B8E"/>
    <w:rsid w:val="00925B08"/>
    <w:rsid w:val="009653C1"/>
    <w:rsid w:val="00967720"/>
    <w:rsid w:val="00970F68"/>
    <w:rsid w:val="00972168"/>
    <w:rsid w:val="009743D4"/>
    <w:rsid w:val="009944D1"/>
    <w:rsid w:val="009A5205"/>
    <w:rsid w:val="009A7FCB"/>
    <w:rsid w:val="009B231D"/>
    <w:rsid w:val="009B51E5"/>
    <w:rsid w:val="009F2F5A"/>
    <w:rsid w:val="009F57C4"/>
    <w:rsid w:val="00A03EA5"/>
    <w:rsid w:val="00A36856"/>
    <w:rsid w:val="00A41CA4"/>
    <w:rsid w:val="00A53BFD"/>
    <w:rsid w:val="00A63C72"/>
    <w:rsid w:val="00A66E45"/>
    <w:rsid w:val="00A96CA7"/>
    <w:rsid w:val="00AB1165"/>
    <w:rsid w:val="00AB1F74"/>
    <w:rsid w:val="00AB645B"/>
    <w:rsid w:val="00AB73BF"/>
    <w:rsid w:val="00AE1961"/>
    <w:rsid w:val="00AE3C1E"/>
    <w:rsid w:val="00B07B8F"/>
    <w:rsid w:val="00B478E4"/>
    <w:rsid w:val="00B676AF"/>
    <w:rsid w:val="00B747E4"/>
    <w:rsid w:val="00B81DCD"/>
    <w:rsid w:val="00B87DC3"/>
    <w:rsid w:val="00B91014"/>
    <w:rsid w:val="00BC5ACB"/>
    <w:rsid w:val="00BE2A61"/>
    <w:rsid w:val="00BE2B46"/>
    <w:rsid w:val="00BE4E20"/>
    <w:rsid w:val="00BF19D0"/>
    <w:rsid w:val="00BF6808"/>
    <w:rsid w:val="00C03ACF"/>
    <w:rsid w:val="00C05744"/>
    <w:rsid w:val="00C07B61"/>
    <w:rsid w:val="00C14C81"/>
    <w:rsid w:val="00C227BC"/>
    <w:rsid w:val="00C50E21"/>
    <w:rsid w:val="00C52E6C"/>
    <w:rsid w:val="00C64590"/>
    <w:rsid w:val="00C71CD9"/>
    <w:rsid w:val="00CC305F"/>
    <w:rsid w:val="00CC33FC"/>
    <w:rsid w:val="00D14AE4"/>
    <w:rsid w:val="00D21FBA"/>
    <w:rsid w:val="00D30C01"/>
    <w:rsid w:val="00D504D8"/>
    <w:rsid w:val="00D57220"/>
    <w:rsid w:val="00D74CD0"/>
    <w:rsid w:val="00DB3BED"/>
    <w:rsid w:val="00DD745D"/>
    <w:rsid w:val="00DE2A35"/>
    <w:rsid w:val="00DE6E7E"/>
    <w:rsid w:val="00E00237"/>
    <w:rsid w:val="00E077D5"/>
    <w:rsid w:val="00E136F2"/>
    <w:rsid w:val="00E14944"/>
    <w:rsid w:val="00E23126"/>
    <w:rsid w:val="00E325D0"/>
    <w:rsid w:val="00E45885"/>
    <w:rsid w:val="00E54253"/>
    <w:rsid w:val="00E55813"/>
    <w:rsid w:val="00E63CA6"/>
    <w:rsid w:val="00E9038E"/>
    <w:rsid w:val="00E951A5"/>
    <w:rsid w:val="00EA443E"/>
    <w:rsid w:val="00EB69AE"/>
    <w:rsid w:val="00EE7C86"/>
    <w:rsid w:val="00F34A0F"/>
    <w:rsid w:val="00F72A42"/>
    <w:rsid w:val="00F85673"/>
    <w:rsid w:val="00FA72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DFCB4"/>
  <w15:chartTrackingRefBased/>
  <w15:docId w15:val="{D221F7E5-FDB1-485D-BED4-3AA4961D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E21"/>
    <w:pPr>
      <w:ind w:left="720"/>
      <w:contextualSpacing/>
    </w:pPr>
  </w:style>
  <w:style w:type="paragraph" w:styleId="BalloonText">
    <w:name w:val="Balloon Text"/>
    <w:basedOn w:val="Normal"/>
    <w:link w:val="BalloonTextChar"/>
    <w:uiPriority w:val="99"/>
    <w:semiHidden/>
    <w:unhideWhenUsed/>
    <w:rsid w:val="00716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B19"/>
    <w:rPr>
      <w:rFonts w:ascii="Segoe UI" w:hAnsi="Segoe UI" w:cs="Segoe UI"/>
      <w:sz w:val="18"/>
      <w:szCs w:val="18"/>
    </w:rPr>
  </w:style>
  <w:style w:type="table" w:styleId="TableGrid">
    <w:name w:val="Table Grid"/>
    <w:basedOn w:val="TableNormal"/>
    <w:rsid w:val="00476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3EA5"/>
    <w:rPr>
      <w:sz w:val="16"/>
      <w:szCs w:val="16"/>
    </w:rPr>
  </w:style>
  <w:style w:type="paragraph" w:styleId="CommentText">
    <w:name w:val="annotation text"/>
    <w:basedOn w:val="Normal"/>
    <w:link w:val="CommentTextChar"/>
    <w:uiPriority w:val="99"/>
    <w:semiHidden/>
    <w:unhideWhenUsed/>
    <w:rsid w:val="00A03EA5"/>
    <w:pPr>
      <w:spacing w:line="240" w:lineRule="auto"/>
    </w:pPr>
    <w:rPr>
      <w:sz w:val="20"/>
      <w:szCs w:val="20"/>
    </w:rPr>
  </w:style>
  <w:style w:type="character" w:customStyle="1" w:styleId="CommentTextChar">
    <w:name w:val="Comment Text Char"/>
    <w:basedOn w:val="DefaultParagraphFont"/>
    <w:link w:val="CommentText"/>
    <w:uiPriority w:val="99"/>
    <w:semiHidden/>
    <w:rsid w:val="00A03EA5"/>
    <w:rPr>
      <w:sz w:val="20"/>
      <w:szCs w:val="20"/>
    </w:rPr>
  </w:style>
  <w:style w:type="paragraph" w:styleId="CommentSubject">
    <w:name w:val="annotation subject"/>
    <w:basedOn w:val="CommentText"/>
    <w:next w:val="CommentText"/>
    <w:link w:val="CommentSubjectChar"/>
    <w:uiPriority w:val="99"/>
    <w:semiHidden/>
    <w:unhideWhenUsed/>
    <w:rsid w:val="00A03EA5"/>
    <w:rPr>
      <w:b/>
      <w:bCs/>
    </w:rPr>
  </w:style>
  <w:style w:type="character" w:customStyle="1" w:styleId="CommentSubjectChar">
    <w:name w:val="Comment Subject Char"/>
    <w:basedOn w:val="CommentTextChar"/>
    <w:link w:val="CommentSubject"/>
    <w:uiPriority w:val="99"/>
    <w:semiHidden/>
    <w:rsid w:val="00A03EA5"/>
    <w:rPr>
      <w:b/>
      <w:bCs/>
      <w:sz w:val="20"/>
      <w:szCs w:val="20"/>
    </w:rPr>
  </w:style>
  <w:style w:type="character" w:styleId="Hyperlink">
    <w:name w:val="Hyperlink"/>
    <w:basedOn w:val="DefaultParagraphFont"/>
    <w:uiPriority w:val="99"/>
    <w:unhideWhenUsed/>
    <w:rsid w:val="00BE2A61"/>
    <w:rPr>
      <w:color w:val="0563C1" w:themeColor="hyperlink"/>
      <w:u w:val="single"/>
    </w:rPr>
  </w:style>
  <w:style w:type="character" w:customStyle="1" w:styleId="UnresolvedMention1">
    <w:name w:val="Unresolved Mention1"/>
    <w:basedOn w:val="DefaultParagraphFont"/>
    <w:uiPriority w:val="99"/>
    <w:semiHidden/>
    <w:unhideWhenUsed/>
    <w:rsid w:val="00BE2A61"/>
    <w:rPr>
      <w:color w:val="605E5C"/>
      <w:shd w:val="clear" w:color="auto" w:fill="E1DFDD"/>
    </w:rPr>
  </w:style>
  <w:style w:type="character" w:customStyle="1" w:styleId="normal-h">
    <w:name w:val="normal-h"/>
    <w:basedOn w:val="DefaultParagraphFont"/>
    <w:rsid w:val="00972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417201">
      <w:bodyDiv w:val="1"/>
      <w:marLeft w:val="0"/>
      <w:marRight w:val="0"/>
      <w:marTop w:val="0"/>
      <w:marBottom w:val="0"/>
      <w:divBdr>
        <w:top w:val="none" w:sz="0" w:space="0" w:color="auto"/>
        <w:left w:val="none" w:sz="0" w:space="0" w:color="auto"/>
        <w:bottom w:val="none" w:sz="0" w:space="0" w:color="auto"/>
        <w:right w:val="none" w:sz="0" w:space="0" w:color="auto"/>
      </w:divBdr>
    </w:div>
    <w:div w:id="513881147">
      <w:bodyDiv w:val="1"/>
      <w:marLeft w:val="0"/>
      <w:marRight w:val="0"/>
      <w:marTop w:val="0"/>
      <w:marBottom w:val="0"/>
      <w:divBdr>
        <w:top w:val="none" w:sz="0" w:space="0" w:color="auto"/>
        <w:left w:val="none" w:sz="0" w:space="0" w:color="auto"/>
        <w:bottom w:val="none" w:sz="0" w:space="0" w:color="auto"/>
        <w:right w:val="none" w:sz="0" w:space="0" w:color="auto"/>
      </w:divBdr>
      <w:divsChild>
        <w:div w:id="1657150844">
          <w:marLeft w:val="0"/>
          <w:marRight w:val="0"/>
          <w:marTop w:val="0"/>
          <w:marBottom w:val="0"/>
          <w:divBdr>
            <w:top w:val="none" w:sz="0" w:space="0" w:color="auto"/>
            <w:left w:val="none" w:sz="0" w:space="0" w:color="auto"/>
            <w:bottom w:val="none" w:sz="0" w:space="0" w:color="auto"/>
            <w:right w:val="none" w:sz="0" w:space="0" w:color="auto"/>
          </w:divBdr>
          <w:divsChild>
            <w:div w:id="1366059588">
              <w:marLeft w:val="0"/>
              <w:marRight w:val="0"/>
              <w:marTop w:val="0"/>
              <w:marBottom w:val="0"/>
              <w:divBdr>
                <w:top w:val="none" w:sz="0" w:space="0" w:color="auto"/>
                <w:left w:val="none" w:sz="0" w:space="0" w:color="auto"/>
                <w:bottom w:val="none" w:sz="0" w:space="0" w:color="auto"/>
                <w:right w:val="none" w:sz="0" w:space="0" w:color="auto"/>
              </w:divBdr>
              <w:divsChild>
                <w:div w:id="781651020">
                  <w:marLeft w:val="0"/>
                  <w:marRight w:val="0"/>
                  <w:marTop w:val="0"/>
                  <w:marBottom w:val="0"/>
                  <w:divBdr>
                    <w:top w:val="none" w:sz="0" w:space="0" w:color="auto"/>
                    <w:left w:val="none" w:sz="0" w:space="0" w:color="auto"/>
                    <w:bottom w:val="none" w:sz="0" w:space="0" w:color="auto"/>
                    <w:right w:val="none" w:sz="0" w:space="0" w:color="auto"/>
                  </w:divBdr>
                  <w:divsChild>
                    <w:div w:id="302585949">
                      <w:marLeft w:val="0"/>
                      <w:marRight w:val="0"/>
                      <w:marTop w:val="0"/>
                      <w:marBottom w:val="0"/>
                      <w:divBdr>
                        <w:top w:val="none" w:sz="0" w:space="0" w:color="auto"/>
                        <w:left w:val="none" w:sz="0" w:space="0" w:color="auto"/>
                        <w:bottom w:val="none" w:sz="0" w:space="0" w:color="auto"/>
                        <w:right w:val="none" w:sz="0" w:space="0" w:color="auto"/>
                      </w:divBdr>
                      <w:divsChild>
                        <w:div w:id="190633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529968">
      <w:bodyDiv w:val="1"/>
      <w:marLeft w:val="0"/>
      <w:marRight w:val="0"/>
      <w:marTop w:val="0"/>
      <w:marBottom w:val="0"/>
      <w:divBdr>
        <w:top w:val="none" w:sz="0" w:space="0" w:color="auto"/>
        <w:left w:val="none" w:sz="0" w:space="0" w:color="auto"/>
        <w:bottom w:val="none" w:sz="0" w:space="0" w:color="auto"/>
        <w:right w:val="none" w:sz="0" w:space="0" w:color="auto"/>
      </w:divBdr>
    </w:div>
    <w:div w:id="907612922">
      <w:bodyDiv w:val="1"/>
      <w:marLeft w:val="0"/>
      <w:marRight w:val="0"/>
      <w:marTop w:val="0"/>
      <w:marBottom w:val="0"/>
      <w:divBdr>
        <w:top w:val="none" w:sz="0" w:space="0" w:color="auto"/>
        <w:left w:val="none" w:sz="0" w:space="0" w:color="auto"/>
        <w:bottom w:val="none" w:sz="0" w:space="0" w:color="auto"/>
        <w:right w:val="none" w:sz="0" w:space="0" w:color="auto"/>
      </w:divBdr>
    </w:div>
    <w:div w:id="1291588544">
      <w:bodyDiv w:val="1"/>
      <w:marLeft w:val="0"/>
      <w:marRight w:val="0"/>
      <w:marTop w:val="0"/>
      <w:marBottom w:val="0"/>
      <w:divBdr>
        <w:top w:val="none" w:sz="0" w:space="0" w:color="auto"/>
        <w:left w:val="none" w:sz="0" w:space="0" w:color="auto"/>
        <w:bottom w:val="none" w:sz="0" w:space="0" w:color="auto"/>
        <w:right w:val="none" w:sz="0" w:space="0" w:color="auto"/>
      </w:divBdr>
      <w:divsChild>
        <w:div w:id="1058286978">
          <w:marLeft w:val="0"/>
          <w:marRight w:val="0"/>
          <w:marTop w:val="0"/>
          <w:marBottom w:val="0"/>
          <w:divBdr>
            <w:top w:val="none" w:sz="0" w:space="0" w:color="auto"/>
            <w:left w:val="none" w:sz="0" w:space="0" w:color="auto"/>
            <w:bottom w:val="none" w:sz="0" w:space="0" w:color="auto"/>
            <w:right w:val="none" w:sz="0" w:space="0" w:color="auto"/>
          </w:divBdr>
        </w:div>
        <w:div w:id="1664165222">
          <w:marLeft w:val="0"/>
          <w:marRight w:val="0"/>
          <w:marTop w:val="0"/>
          <w:marBottom w:val="0"/>
          <w:divBdr>
            <w:top w:val="none" w:sz="0" w:space="0" w:color="auto"/>
            <w:left w:val="none" w:sz="0" w:space="0" w:color="auto"/>
            <w:bottom w:val="none" w:sz="0" w:space="0" w:color="auto"/>
            <w:right w:val="none" w:sz="0" w:space="0" w:color="auto"/>
          </w:divBdr>
        </w:div>
      </w:divsChild>
    </w:div>
    <w:div w:id="1454128956">
      <w:bodyDiv w:val="1"/>
      <w:marLeft w:val="0"/>
      <w:marRight w:val="0"/>
      <w:marTop w:val="0"/>
      <w:marBottom w:val="0"/>
      <w:divBdr>
        <w:top w:val="none" w:sz="0" w:space="0" w:color="auto"/>
        <w:left w:val="none" w:sz="0" w:space="0" w:color="auto"/>
        <w:bottom w:val="none" w:sz="0" w:space="0" w:color="auto"/>
        <w:right w:val="none" w:sz="0" w:space="0" w:color="auto"/>
      </w:divBdr>
    </w:div>
    <w:div w:id="1883903817">
      <w:bodyDiv w:val="1"/>
      <w:marLeft w:val="0"/>
      <w:marRight w:val="0"/>
      <w:marTop w:val="0"/>
      <w:marBottom w:val="0"/>
      <w:divBdr>
        <w:top w:val="none" w:sz="0" w:space="0" w:color="auto"/>
        <w:left w:val="none" w:sz="0" w:space="0" w:color="auto"/>
        <w:bottom w:val="none" w:sz="0" w:space="0" w:color="auto"/>
        <w:right w:val="none" w:sz="0" w:space="0" w:color="auto"/>
      </w:divBdr>
      <w:divsChild>
        <w:div w:id="1235049675">
          <w:marLeft w:val="0"/>
          <w:marRight w:val="0"/>
          <w:marTop w:val="0"/>
          <w:marBottom w:val="0"/>
          <w:divBdr>
            <w:top w:val="none" w:sz="0" w:space="0" w:color="auto"/>
            <w:left w:val="none" w:sz="0" w:space="0" w:color="auto"/>
            <w:bottom w:val="none" w:sz="0" w:space="0" w:color="auto"/>
            <w:right w:val="none" w:sz="0" w:space="0" w:color="auto"/>
          </w:divBdr>
        </w:div>
        <w:div w:id="36663759">
          <w:marLeft w:val="0"/>
          <w:marRight w:val="0"/>
          <w:marTop w:val="0"/>
          <w:marBottom w:val="0"/>
          <w:divBdr>
            <w:top w:val="none" w:sz="0" w:space="0" w:color="auto"/>
            <w:left w:val="none" w:sz="0" w:space="0" w:color="auto"/>
            <w:bottom w:val="none" w:sz="0" w:space="0" w:color="auto"/>
            <w:right w:val="none" w:sz="0" w:space="0" w:color="auto"/>
          </w:divBdr>
        </w:div>
        <w:div w:id="757023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ku.lt/apie-mus/palukanu-normos/" TargetMode="External"/><Relationship Id="rId3" Type="http://schemas.openxmlformats.org/officeDocument/2006/relationships/styles" Target="styles.xml"/><Relationship Id="rId7" Type="http://schemas.openxmlformats.org/officeDocument/2006/relationships/hyperlink" Target="https://www.emmi-benchmarks.eu/euribor-org/euribor-rat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9E600-7D70-431F-9B24-73BE69A10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12887</Words>
  <Characters>7346</Characters>
  <Application>Microsoft Office Word</Application>
  <DocSecurity>0</DocSecurity>
  <Lines>61</Lines>
  <Paragraphs>40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Leskauskienė</dc:creator>
  <cp:keywords/>
  <dc:description/>
  <cp:lastModifiedBy>User</cp:lastModifiedBy>
  <cp:revision>3</cp:revision>
  <cp:lastPrinted>2020-08-19T14:00:00Z</cp:lastPrinted>
  <dcterms:created xsi:type="dcterms:W3CDTF">2020-08-24T13:12:00Z</dcterms:created>
  <dcterms:modified xsi:type="dcterms:W3CDTF">2020-08-24T13:27:00Z</dcterms:modified>
</cp:coreProperties>
</file>